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Description w:val="Company name"/>
      </w:tblPr>
      <w:tblGrid>
        <w:gridCol w:w="1170"/>
        <w:gridCol w:w="8190"/>
      </w:tblGrid>
      <w:tr w:rsidR="000C46AB" w14:paraId="20F3E67C" w14:textId="77777777" w:rsidTr="00DD1265">
        <w:trPr>
          <w:trHeight w:val="1008"/>
        </w:trPr>
        <w:tc>
          <w:tcPr>
            <w:tcW w:w="1170" w:type="dxa"/>
          </w:tcPr>
          <w:p w14:paraId="0D7092BC" w14:textId="77777777" w:rsidR="000C46AB" w:rsidRDefault="000C46AB">
            <w:pPr>
              <w:spacing w:after="0" w:line="240" w:lineRule="auto"/>
            </w:pPr>
          </w:p>
        </w:tc>
        <w:tc>
          <w:tcPr>
            <w:tcW w:w="8190" w:type="dxa"/>
            <w:shd w:val="clear" w:color="auto" w:fill="404040" w:themeFill="text1" w:themeFillTint="BF"/>
            <w:vAlign w:val="center"/>
          </w:tcPr>
          <w:p w14:paraId="32B9E787" w14:textId="77777777" w:rsidR="000C46AB" w:rsidRDefault="00DD1265" w:rsidP="00DD1265">
            <w:pPr>
              <w:pStyle w:val="CompanyName"/>
            </w:pPr>
            <w:r>
              <w:t>Radioactive Waste Management Associates</w:t>
            </w:r>
          </w:p>
        </w:tc>
      </w:tr>
    </w:tbl>
    <w:p w14:paraId="47DDDE9D" w14:textId="77777777" w:rsidR="000C46AB" w:rsidRDefault="00852AF6">
      <w:pPr>
        <w:pStyle w:val="Title"/>
      </w:pPr>
      <w:r>
        <w:t>Memo</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0C46AB" w:rsidRPr="00DD1265" w14:paraId="09BEF21F" w14:textId="77777777" w:rsidTr="00671DC9">
        <w:trPr>
          <w:trHeight w:val="576"/>
        </w:trPr>
        <w:tc>
          <w:tcPr>
            <w:tcW w:w="1243" w:type="dxa"/>
            <w:vAlign w:val="bottom"/>
          </w:tcPr>
          <w:p w14:paraId="25B21663" w14:textId="77777777" w:rsidR="000C46AB" w:rsidRPr="00DD1265" w:rsidRDefault="00852AF6">
            <w:pPr>
              <w:pStyle w:val="Heading1"/>
              <w:spacing w:after="0" w:line="240" w:lineRule="auto"/>
              <w:rPr>
                <w:sz w:val="22"/>
                <w:szCs w:val="22"/>
              </w:rPr>
            </w:pPr>
            <w:r w:rsidRPr="00DD1265">
              <w:rPr>
                <w:sz w:val="22"/>
                <w:szCs w:val="22"/>
              </w:rPr>
              <w:t>To:</w:t>
            </w:r>
          </w:p>
        </w:tc>
        <w:tc>
          <w:tcPr>
            <w:tcW w:w="8117" w:type="dxa"/>
            <w:vAlign w:val="bottom"/>
          </w:tcPr>
          <w:p w14:paraId="3C119647" w14:textId="77777777" w:rsidR="000C46AB" w:rsidRPr="00DD1265" w:rsidRDefault="00DD1265" w:rsidP="00DD1265">
            <w:pPr>
              <w:spacing w:after="0" w:line="240" w:lineRule="auto"/>
              <w:rPr>
                <w:sz w:val="22"/>
                <w:szCs w:val="22"/>
              </w:rPr>
            </w:pPr>
            <w:r>
              <w:rPr>
                <w:sz w:val="22"/>
                <w:szCs w:val="22"/>
              </w:rPr>
              <w:t xml:space="preserve">Bob Halstead, Joe Strolin, </w:t>
            </w:r>
          </w:p>
        </w:tc>
      </w:tr>
      <w:tr w:rsidR="000C46AB" w:rsidRPr="00DD1265" w14:paraId="1728EC2A" w14:textId="77777777" w:rsidTr="00671DC9">
        <w:trPr>
          <w:trHeight w:val="576"/>
        </w:trPr>
        <w:tc>
          <w:tcPr>
            <w:tcW w:w="1243" w:type="dxa"/>
            <w:vAlign w:val="bottom"/>
          </w:tcPr>
          <w:p w14:paraId="7D5B37F2" w14:textId="77777777" w:rsidR="000C46AB" w:rsidRPr="00DD1265" w:rsidRDefault="00852AF6">
            <w:pPr>
              <w:pStyle w:val="Heading1"/>
              <w:spacing w:after="0" w:line="240" w:lineRule="auto"/>
              <w:rPr>
                <w:sz w:val="22"/>
                <w:szCs w:val="22"/>
              </w:rPr>
            </w:pPr>
            <w:r w:rsidRPr="00DD1265">
              <w:rPr>
                <w:sz w:val="22"/>
                <w:szCs w:val="22"/>
              </w:rPr>
              <w:t>From:</w:t>
            </w:r>
          </w:p>
        </w:tc>
        <w:tc>
          <w:tcPr>
            <w:tcW w:w="8117" w:type="dxa"/>
            <w:vAlign w:val="bottom"/>
          </w:tcPr>
          <w:p w14:paraId="2F7E30F5" w14:textId="1430BC2C" w:rsidR="000C46AB" w:rsidRPr="00DD1265" w:rsidRDefault="00671DC9" w:rsidP="00671DC9">
            <w:pPr>
              <w:spacing w:after="0" w:line="240" w:lineRule="auto"/>
              <w:rPr>
                <w:sz w:val="22"/>
                <w:szCs w:val="22"/>
              </w:rPr>
            </w:pPr>
            <w:r>
              <w:rPr>
                <w:sz w:val="22"/>
                <w:szCs w:val="22"/>
              </w:rPr>
              <w:t>Marvin Resnikoff</w:t>
            </w:r>
          </w:p>
        </w:tc>
      </w:tr>
      <w:tr w:rsidR="000C46AB" w:rsidRPr="00DD1265" w14:paraId="1D5C72B6" w14:textId="77777777" w:rsidTr="00671DC9">
        <w:trPr>
          <w:trHeight w:val="576"/>
        </w:trPr>
        <w:tc>
          <w:tcPr>
            <w:tcW w:w="1243" w:type="dxa"/>
            <w:vAlign w:val="bottom"/>
          </w:tcPr>
          <w:p w14:paraId="29BCB533" w14:textId="77777777" w:rsidR="000C46AB" w:rsidRPr="00DD1265" w:rsidRDefault="00852AF6">
            <w:pPr>
              <w:pStyle w:val="Heading1"/>
              <w:spacing w:after="0" w:line="240" w:lineRule="auto"/>
              <w:rPr>
                <w:sz w:val="22"/>
                <w:szCs w:val="22"/>
              </w:rPr>
            </w:pPr>
            <w:r w:rsidRPr="00DD1265">
              <w:rPr>
                <w:sz w:val="22"/>
                <w:szCs w:val="22"/>
              </w:rPr>
              <w:t>Date:</w:t>
            </w:r>
          </w:p>
        </w:tc>
        <w:tc>
          <w:tcPr>
            <w:tcW w:w="8117" w:type="dxa"/>
            <w:vAlign w:val="bottom"/>
          </w:tcPr>
          <w:sdt>
            <w:sdtPr>
              <w:rPr>
                <w:sz w:val="22"/>
                <w:szCs w:val="22"/>
              </w:rPr>
              <w:alias w:val="Date"/>
              <w:tag w:val="Date"/>
              <w:id w:val="875663137"/>
              <w:placeholder>
                <w:docPart w:val="E7F74D964FC0409BB6C72820977EE4E4"/>
              </w:placeholder>
              <w:dataBinding w:prefixMappings="xmlns:ns0='http://schemas.microsoft.com/office/2006/coverPageProps' " w:xpath="/ns0:CoverPageProperties[1]/ns0:PublishDate[1]" w:storeItemID="{55AF091B-3C7A-41E3-B477-F2FDAA23CFDA}"/>
              <w:date w:fullDate="2017-07-25T00:00:00Z">
                <w:dateFormat w:val="MMMM d, yyyy"/>
                <w:lid w:val="en-US"/>
                <w:storeMappedDataAs w:val="dateTime"/>
                <w:calendar w:val="gregorian"/>
              </w:date>
            </w:sdtPr>
            <w:sdtEndPr/>
            <w:sdtContent>
              <w:p w14:paraId="47803ACC" w14:textId="77777777" w:rsidR="000C46AB" w:rsidRPr="00DD1265" w:rsidRDefault="00DD1265" w:rsidP="00DD1265">
                <w:pPr>
                  <w:spacing w:after="0" w:line="240" w:lineRule="auto"/>
                  <w:rPr>
                    <w:sz w:val="22"/>
                    <w:szCs w:val="22"/>
                  </w:rPr>
                </w:pPr>
                <w:r>
                  <w:rPr>
                    <w:sz w:val="22"/>
                    <w:szCs w:val="22"/>
                  </w:rPr>
                  <w:t>July 25, 2017</w:t>
                </w:r>
              </w:p>
            </w:sdtContent>
          </w:sdt>
        </w:tc>
      </w:tr>
      <w:tr w:rsidR="000C46AB" w:rsidRPr="00DD1265" w14:paraId="6FF38B01" w14:textId="77777777" w:rsidTr="00671DC9">
        <w:trPr>
          <w:trHeight w:val="576"/>
        </w:trPr>
        <w:tc>
          <w:tcPr>
            <w:tcW w:w="1243" w:type="dxa"/>
            <w:vAlign w:val="bottom"/>
          </w:tcPr>
          <w:p w14:paraId="7EA97858" w14:textId="77777777" w:rsidR="000C46AB" w:rsidRPr="00DD1265" w:rsidRDefault="00852AF6">
            <w:pPr>
              <w:pStyle w:val="Heading1"/>
              <w:spacing w:after="0" w:line="240" w:lineRule="auto"/>
              <w:rPr>
                <w:sz w:val="22"/>
                <w:szCs w:val="22"/>
              </w:rPr>
            </w:pPr>
            <w:r w:rsidRPr="00DD1265">
              <w:rPr>
                <w:sz w:val="22"/>
                <w:szCs w:val="22"/>
              </w:rPr>
              <w:t>Re:</w:t>
            </w:r>
          </w:p>
        </w:tc>
        <w:tc>
          <w:tcPr>
            <w:tcW w:w="8117" w:type="dxa"/>
            <w:vAlign w:val="bottom"/>
          </w:tcPr>
          <w:p w14:paraId="467ACC11" w14:textId="77777777" w:rsidR="000C46AB" w:rsidRPr="00DD1265" w:rsidRDefault="008B4B8D" w:rsidP="008B4B8D">
            <w:pPr>
              <w:spacing w:after="0" w:line="240" w:lineRule="auto"/>
              <w:rPr>
                <w:sz w:val="22"/>
                <w:szCs w:val="22"/>
              </w:rPr>
            </w:pPr>
            <w:r>
              <w:rPr>
                <w:sz w:val="22"/>
                <w:szCs w:val="22"/>
              </w:rPr>
              <w:t>NEV-NEPA-Halstead - #9</w:t>
            </w:r>
          </w:p>
        </w:tc>
      </w:tr>
      <w:tr w:rsidR="000C46AB" w14:paraId="28993DD4" w14:textId="77777777" w:rsidTr="00671DC9">
        <w:trPr>
          <w:trHeight w:val="288"/>
        </w:trPr>
        <w:tc>
          <w:tcPr>
            <w:tcW w:w="1243" w:type="dxa"/>
            <w:tcBorders>
              <w:bottom w:val="single" w:sz="4" w:space="0" w:color="auto"/>
            </w:tcBorders>
            <w:vAlign w:val="center"/>
          </w:tcPr>
          <w:p w14:paraId="6D28959A" w14:textId="77777777" w:rsidR="000C46AB" w:rsidRDefault="000C46AB">
            <w:pPr>
              <w:spacing w:after="0" w:line="240" w:lineRule="auto"/>
            </w:pPr>
          </w:p>
        </w:tc>
        <w:tc>
          <w:tcPr>
            <w:tcW w:w="8117" w:type="dxa"/>
            <w:tcBorders>
              <w:bottom w:val="single" w:sz="4" w:space="0" w:color="auto"/>
            </w:tcBorders>
            <w:vAlign w:val="center"/>
          </w:tcPr>
          <w:p w14:paraId="4900390B" w14:textId="77777777" w:rsidR="000C46AB" w:rsidRDefault="000C46AB">
            <w:pPr>
              <w:spacing w:after="0" w:line="240" w:lineRule="auto"/>
            </w:pPr>
          </w:p>
        </w:tc>
      </w:tr>
    </w:tbl>
    <w:p w14:paraId="19E5B7E6" w14:textId="77777777" w:rsidR="008B4B8D" w:rsidRDefault="008B4B8D" w:rsidP="008B4B8D">
      <w:pPr>
        <w:pStyle w:val="Heading1"/>
        <w:rPr>
          <w:rStyle w:val="Heading1Char"/>
          <w:b/>
          <w:bCs/>
          <w:sz w:val="24"/>
          <w:szCs w:val="24"/>
        </w:rPr>
      </w:pPr>
      <w:r w:rsidRPr="008B4B8D">
        <w:rPr>
          <w:rStyle w:val="Heading1Char"/>
          <w:b/>
          <w:bCs/>
          <w:sz w:val="24"/>
          <w:szCs w:val="24"/>
        </w:rPr>
        <w:t>Summary</w:t>
      </w:r>
    </w:p>
    <w:p w14:paraId="1CCCA9C8" w14:textId="5CBD468E" w:rsidR="008B4B8D" w:rsidRDefault="00F57C72" w:rsidP="008B4B8D">
      <w:pPr>
        <w:spacing w:after="0"/>
        <w:rPr>
          <w:sz w:val="24"/>
          <w:szCs w:val="24"/>
        </w:rPr>
      </w:pPr>
      <w:r>
        <w:rPr>
          <w:sz w:val="24"/>
          <w:szCs w:val="24"/>
        </w:rPr>
        <w:t xml:space="preserve">The </w:t>
      </w:r>
      <w:r w:rsidR="00FE6084">
        <w:rPr>
          <w:sz w:val="24"/>
          <w:szCs w:val="24"/>
        </w:rPr>
        <w:t>S</w:t>
      </w:r>
      <w:r>
        <w:rPr>
          <w:sz w:val="24"/>
          <w:szCs w:val="24"/>
        </w:rPr>
        <w:t>tate of Nevada has</w:t>
      </w:r>
      <w:r w:rsidRPr="00F57C72">
        <w:rPr>
          <w:sz w:val="24"/>
          <w:szCs w:val="24"/>
        </w:rPr>
        <w:t xml:space="preserve"> introduced contention </w:t>
      </w:r>
      <w:r>
        <w:rPr>
          <w:sz w:val="24"/>
          <w:szCs w:val="24"/>
        </w:rPr>
        <w:t>NEV-NEPA #9</w:t>
      </w:r>
      <w:r w:rsidRPr="00F57C72">
        <w:rPr>
          <w:sz w:val="24"/>
          <w:szCs w:val="24"/>
        </w:rPr>
        <w:t xml:space="preserve"> which considers transportations </w:t>
      </w:r>
      <w:r>
        <w:rPr>
          <w:sz w:val="24"/>
          <w:szCs w:val="24"/>
        </w:rPr>
        <w:t>of spent nuclear fuel</w:t>
      </w:r>
      <w:r w:rsidRPr="00F57C72">
        <w:rPr>
          <w:sz w:val="24"/>
          <w:szCs w:val="24"/>
        </w:rPr>
        <w:t xml:space="preserve"> versus </w:t>
      </w:r>
      <w:r>
        <w:rPr>
          <w:sz w:val="24"/>
          <w:szCs w:val="24"/>
        </w:rPr>
        <w:t>at-</w:t>
      </w:r>
      <w:r w:rsidRPr="00F57C72">
        <w:rPr>
          <w:sz w:val="24"/>
          <w:szCs w:val="24"/>
        </w:rPr>
        <w:t xml:space="preserve">reactor storage. The contention asserts that the FSEIS </w:t>
      </w:r>
      <w:r>
        <w:rPr>
          <w:sz w:val="24"/>
          <w:szCs w:val="24"/>
        </w:rPr>
        <w:t>doe</w:t>
      </w:r>
      <w:r w:rsidRPr="00F57C72">
        <w:rPr>
          <w:sz w:val="24"/>
          <w:szCs w:val="24"/>
        </w:rPr>
        <w:t xml:space="preserve">s not consider the no action alternative in that it fails to consider reasonably foreseeable sabotage </w:t>
      </w:r>
      <w:r>
        <w:rPr>
          <w:sz w:val="24"/>
          <w:szCs w:val="24"/>
        </w:rPr>
        <w:t>at</w:t>
      </w:r>
      <w:r w:rsidRPr="00F57C72">
        <w:rPr>
          <w:sz w:val="24"/>
          <w:szCs w:val="24"/>
        </w:rPr>
        <w:t xml:space="preserve"> one o</w:t>
      </w:r>
      <w:r>
        <w:rPr>
          <w:sz w:val="24"/>
          <w:szCs w:val="24"/>
        </w:rPr>
        <w:t>r</w:t>
      </w:r>
      <w:r w:rsidRPr="00F57C72">
        <w:rPr>
          <w:sz w:val="24"/>
          <w:szCs w:val="24"/>
        </w:rPr>
        <w:t xml:space="preserve"> more of the 76 identified commercial reactor or DOE storage sites. </w:t>
      </w:r>
      <w:r>
        <w:rPr>
          <w:sz w:val="24"/>
          <w:szCs w:val="24"/>
        </w:rPr>
        <w:t>“W</w:t>
      </w:r>
      <w:r w:rsidRPr="00F57C72">
        <w:rPr>
          <w:sz w:val="24"/>
          <w:szCs w:val="24"/>
        </w:rPr>
        <w:t xml:space="preserve">ithout equally considering reasonably foreseeable </w:t>
      </w:r>
      <w:r>
        <w:rPr>
          <w:sz w:val="24"/>
          <w:szCs w:val="24"/>
        </w:rPr>
        <w:t xml:space="preserve">sabotage </w:t>
      </w:r>
      <w:r w:rsidRPr="00F57C72">
        <w:rPr>
          <w:sz w:val="24"/>
          <w:szCs w:val="24"/>
        </w:rPr>
        <w:t xml:space="preserve">scenarios under both the proposed action and </w:t>
      </w:r>
      <w:r>
        <w:rPr>
          <w:sz w:val="24"/>
          <w:szCs w:val="24"/>
        </w:rPr>
        <w:t xml:space="preserve">the </w:t>
      </w:r>
      <w:r w:rsidRPr="00F57C72">
        <w:rPr>
          <w:sz w:val="24"/>
          <w:szCs w:val="24"/>
        </w:rPr>
        <w:t xml:space="preserve">no action alternative there is no adequate disclosure of </w:t>
      </w:r>
      <w:r>
        <w:rPr>
          <w:sz w:val="24"/>
          <w:szCs w:val="24"/>
        </w:rPr>
        <w:t>alternatives</w:t>
      </w:r>
      <w:r w:rsidRPr="00F57C72">
        <w:rPr>
          <w:sz w:val="24"/>
          <w:szCs w:val="24"/>
        </w:rPr>
        <w:t xml:space="preserve"> under</w:t>
      </w:r>
      <w:r>
        <w:rPr>
          <w:sz w:val="24"/>
          <w:szCs w:val="24"/>
        </w:rPr>
        <w:t xml:space="preserve"> NEPA</w:t>
      </w:r>
      <w:r w:rsidRPr="00F57C72">
        <w:rPr>
          <w:sz w:val="24"/>
          <w:szCs w:val="24"/>
        </w:rPr>
        <w:t>.</w:t>
      </w:r>
      <w:r w:rsidR="00FE6084">
        <w:rPr>
          <w:sz w:val="24"/>
          <w:szCs w:val="24"/>
        </w:rPr>
        <w:t xml:space="preserve">” </w:t>
      </w:r>
      <w:r w:rsidRPr="00F57C72">
        <w:rPr>
          <w:sz w:val="24"/>
          <w:szCs w:val="24"/>
        </w:rPr>
        <w:t xml:space="preserve"> In this memo </w:t>
      </w:r>
      <w:r>
        <w:rPr>
          <w:sz w:val="24"/>
          <w:szCs w:val="24"/>
        </w:rPr>
        <w:t xml:space="preserve">I </w:t>
      </w:r>
      <w:r w:rsidRPr="00F57C72">
        <w:rPr>
          <w:sz w:val="24"/>
          <w:szCs w:val="24"/>
        </w:rPr>
        <w:t xml:space="preserve">want to consider reasonably foreseeable </w:t>
      </w:r>
      <w:r w:rsidR="0060637A">
        <w:rPr>
          <w:sz w:val="24"/>
          <w:szCs w:val="24"/>
        </w:rPr>
        <w:t>sabotage</w:t>
      </w:r>
      <w:r w:rsidRPr="00F57C72">
        <w:rPr>
          <w:sz w:val="24"/>
          <w:szCs w:val="24"/>
        </w:rPr>
        <w:t xml:space="preserve"> scenarios at reactor </w:t>
      </w:r>
      <w:r w:rsidR="00FE6084">
        <w:rPr>
          <w:sz w:val="24"/>
          <w:szCs w:val="24"/>
        </w:rPr>
        <w:t xml:space="preserve">storage </w:t>
      </w:r>
      <w:r w:rsidRPr="00F57C72">
        <w:rPr>
          <w:sz w:val="24"/>
          <w:szCs w:val="24"/>
        </w:rPr>
        <w:t xml:space="preserve">sites and also want to bring up to date our previous calculations on sabotage </w:t>
      </w:r>
      <w:r w:rsidR="0060637A">
        <w:rPr>
          <w:sz w:val="24"/>
          <w:szCs w:val="24"/>
        </w:rPr>
        <w:t>that may occur when</w:t>
      </w:r>
      <w:r w:rsidRPr="00F57C72">
        <w:rPr>
          <w:sz w:val="24"/>
          <w:szCs w:val="24"/>
        </w:rPr>
        <w:t xml:space="preserve"> transport</w:t>
      </w:r>
      <w:r w:rsidR="0060637A">
        <w:rPr>
          <w:sz w:val="24"/>
          <w:szCs w:val="24"/>
        </w:rPr>
        <w:t>ing spent nuclear fuel.</w:t>
      </w:r>
      <w:r w:rsidRPr="00F57C72">
        <w:rPr>
          <w:sz w:val="24"/>
          <w:szCs w:val="24"/>
        </w:rPr>
        <w:t xml:space="preserve"> This update will look at higher </w:t>
      </w:r>
      <w:r w:rsidR="004575CB">
        <w:rPr>
          <w:sz w:val="24"/>
          <w:szCs w:val="24"/>
        </w:rPr>
        <w:t>b</w:t>
      </w:r>
      <w:r w:rsidRPr="00F57C72">
        <w:rPr>
          <w:sz w:val="24"/>
          <w:szCs w:val="24"/>
        </w:rPr>
        <w:t xml:space="preserve">urnup fuel, higher </w:t>
      </w:r>
      <w:r w:rsidR="004575CB">
        <w:rPr>
          <w:sz w:val="24"/>
          <w:szCs w:val="24"/>
        </w:rPr>
        <w:t>b</w:t>
      </w:r>
      <w:r w:rsidRPr="00F57C72">
        <w:rPr>
          <w:sz w:val="24"/>
          <w:szCs w:val="24"/>
        </w:rPr>
        <w:t>urnup than is considered in the FSEIS.</w:t>
      </w:r>
    </w:p>
    <w:p w14:paraId="729A0C1C" w14:textId="77777777" w:rsidR="004575CB" w:rsidRDefault="004575CB" w:rsidP="008B4B8D">
      <w:pPr>
        <w:spacing w:after="0"/>
        <w:rPr>
          <w:sz w:val="24"/>
          <w:szCs w:val="24"/>
        </w:rPr>
      </w:pPr>
    </w:p>
    <w:p w14:paraId="1ACF7FB1" w14:textId="77777777" w:rsidR="004575CB" w:rsidRDefault="004575CB" w:rsidP="008B4B8D">
      <w:pPr>
        <w:spacing w:after="0"/>
        <w:rPr>
          <w:b/>
          <w:sz w:val="24"/>
          <w:szCs w:val="24"/>
        </w:rPr>
      </w:pPr>
      <w:r w:rsidRPr="004575CB">
        <w:rPr>
          <w:b/>
          <w:sz w:val="24"/>
          <w:szCs w:val="24"/>
        </w:rPr>
        <w:t>At-Reactor Storage</w:t>
      </w:r>
    </w:p>
    <w:p w14:paraId="256263F9" w14:textId="77777777" w:rsidR="004575CB" w:rsidRDefault="004575CB" w:rsidP="008B4B8D">
      <w:pPr>
        <w:spacing w:after="0"/>
        <w:rPr>
          <w:b/>
          <w:sz w:val="24"/>
          <w:szCs w:val="24"/>
        </w:rPr>
      </w:pPr>
    </w:p>
    <w:p w14:paraId="4AA2038D" w14:textId="204FCDE4" w:rsidR="004575CB" w:rsidRDefault="004575CB" w:rsidP="008B4B8D">
      <w:pPr>
        <w:spacing w:after="0"/>
        <w:rPr>
          <w:sz w:val="24"/>
          <w:szCs w:val="24"/>
        </w:rPr>
      </w:pPr>
      <w:r w:rsidRPr="004575CB">
        <w:rPr>
          <w:sz w:val="24"/>
          <w:szCs w:val="24"/>
        </w:rPr>
        <w:t>Spent nuclear fuel</w:t>
      </w:r>
      <w:r>
        <w:rPr>
          <w:sz w:val="24"/>
          <w:szCs w:val="24"/>
        </w:rPr>
        <w:t xml:space="preserve"> is stored at reactor sites in fuel pools and several </w:t>
      </w:r>
      <w:r w:rsidR="0060637A">
        <w:rPr>
          <w:sz w:val="24"/>
          <w:szCs w:val="24"/>
        </w:rPr>
        <w:t>different</w:t>
      </w:r>
      <w:r>
        <w:rPr>
          <w:sz w:val="24"/>
          <w:szCs w:val="24"/>
        </w:rPr>
        <w:t xml:space="preserve"> dry storage casks. There are three dry storage cas</w:t>
      </w:r>
      <w:r w:rsidR="0060637A">
        <w:rPr>
          <w:sz w:val="24"/>
          <w:szCs w:val="24"/>
        </w:rPr>
        <w:t>k</w:t>
      </w:r>
      <w:r>
        <w:rPr>
          <w:sz w:val="24"/>
          <w:szCs w:val="24"/>
        </w:rPr>
        <w:t>s presently in use</w:t>
      </w:r>
      <w:r w:rsidR="0060637A">
        <w:rPr>
          <w:sz w:val="24"/>
          <w:szCs w:val="24"/>
        </w:rPr>
        <w:t>:</w:t>
      </w:r>
      <w:r>
        <w:rPr>
          <w:sz w:val="24"/>
          <w:szCs w:val="24"/>
        </w:rPr>
        <w:t xml:space="preserve"> the </w:t>
      </w:r>
      <w:r w:rsidR="00FE6084">
        <w:rPr>
          <w:sz w:val="24"/>
          <w:szCs w:val="24"/>
        </w:rPr>
        <w:t>C</w:t>
      </w:r>
      <w:r>
        <w:rPr>
          <w:sz w:val="24"/>
          <w:szCs w:val="24"/>
        </w:rPr>
        <w:t xml:space="preserve">astor cask, the </w:t>
      </w:r>
      <w:r w:rsidR="0060637A">
        <w:rPr>
          <w:sz w:val="24"/>
          <w:szCs w:val="24"/>
        </w:rPr>
        <w:t>NUHOMS</w:t>
      </w:r>
      <w:r>
        <w:rPr>
          <w:sz w:val="24"/>
          <w:szCs w:val="24"/>
        </w:rPr>
        <w:t xml:space="preserve"> cask and the </w:t>
      </w:r>
      <w:r w:rsidR="0060637A">
        <w:rPr>
          <w:sz w:val="24"/>
          <w:szCs w:val="24"/>
        </w:rPr>
        <w:t>HOLTEC</w:t>
      </w:r>
      <w:r>
        <w:rPr>
          <w:sz w:val="24"/>
          <w:szCs w:val="24"/>
        </w:rPr>
        <w:t xml:space="preserve"> cask.</w:t>
      </w:r>
    </w:p>
    <w:p w14:paraId="446F05A0" w14:textId="77777777" w:rsidR="004575CB" w:rsidRDefault="004575CB" w:rsidP="008B4B8D">
      <w:pPr>
        <w:spacing w:after="0"/>
        <w:rPr>
          <w:sz w:val="24"/>
          <w:szCs w:val="24"/>
        </w:rPr>
      </w:pPr>
    </w:p>
    <w:p w14:paraId="723796F3" w14:textId="0A510B53" w:rsidR="004575CB" w:rsidRDefault="0060637A" w:rsidP="008B4B8D">
      <w:pPr>
        <w:spacing w:after="0"/>
        <w:rPr>
          <w:sz w:val="24"/>
          <w:szCs w:val="24"/>
        </w:rPr>
      </w:pPr>
      <w:r w:rsidRPr="0060637A">
        <w:rPr>
          <w:b/>
          <w:sz w:val="24"/>
          <w:szCs w:val="24"/>
        </w:rPr>
        <w:t>Castor Cask.</w:t>
      </w:r>
      <w:r>
        <w:rPr>
          <w:sz w:val="24"/>
          <w:szCs w:val="24"/>
        </w:rPr>
        <w:t xml:space="preserve"> </w:t>
      </w:r>
      <w:r w:rsidR="004575CB">
        <w:rPr>
          <w:sz w:val="24"/>
          <w:szCs w:val="24"/>
        </w:rPr>
        <w:t xml:space="preserve"> </w:t>
      </w:r>
      <w:r w:rsidR="00D23150">
        <w:rPr>
          <w:sz w:val="24"/>
          <w:szCs w:val="24"/>
        </w:rPr>
        <w:t xml:space="preserve">The CASTOR </w:t>
      </w:r>
      <w:r w:rsidR="001F750D">
        <w:rPr>
          <w:sz w:val="24"/>
          <w:szCs w:val="24"/>
        </w:rPr>
        <w:t xml:space="preserve">cask has forged iron walls 15 inches thick, but it is susceptible to an armor piercing missile. On June 25, 1998 the U.S. Army conducted a </w:t>
      </w:r>
      <w:r w:rsidR="001F750D">
        <w:rPr>
          <w:sz w:val="24"/>
          <w:szCs w:val="24"/>
        </w:rPr>
        <w:lastRenderedPageBreak/>
        <w:t xml:space="preserve">weapons test at the Aberdeen proving grounds in Maryland. Video of the tests shows a </w:t>
      </w:r>
      <w:r w:rsidR="00FE6084">
        <w:rPr>
          <w:sz w:val="24"/>
          <w:szCs w:val="24"/>
        </w:rPr>
        <w:t xml:space="preserve">TOW </w:t>
      </w:r>
      <w:r w:rsidR="001F750D">
        <w:rPr>
          <w:sz w:val="24"/>
          <w:szCs w:val="24"/>
        </w:rPr>
        <w:t xml:space="preserve">antitank missile perforating the cask wall. The hole was approximately grapefruit sized. The </w:t>
      </w:r>
      <w:r w:rsidR="00FE6084">
        <w:rPr>
          <w:sz w:val="24"/>
          <w:szCs w:val="24"/>
        </w:rPr>
        <w:t>C</w:t>
      </w:r>
      <w:r w:rsidR="001F750D">
        <w:rPr>
          <w:sz w:val="24"/>
          <w:szCs w:val="24"/>
        </w:rPr>
        <w:t>astor casks is widely used in Europe</w:t>
      </w:r>
      <w:r w:rsidR="00FE6084">
        <w:rPr>
          <w:sz w:val="24"/>
          <w:szCs w:val="24"/>
        </w:rPr>
        <w:t>,</w:t>
      </w:r>
      <w:r w:rsidR="001F750D">
        <w:rPr>
          <w:sz w:val="24"/>
          <w:szCs w:val="24"/>
        </w:rPr>
        <w:t xml:space="preserve"> but only </w:t>
      </w:r>
      <w:r w:rsidR="00FE6084">
        <w:rPr>
          <w:sz w:val="24"/>
          <w:szCs w:val="24"/>
        </w:rPr>
        <w:t xml:space="preserve">at </w:t>
      </w:r>
      <w:r w:rsidR="001F750D">
        <w:rPr>
          <w:sz w:val="24"/>
          <w:szCs w:val="24"/>
        </w:rPr>
        <w:t xml:space="preserve">the Surry reactors </w:t>
      </w:r>
      <w:r w:rsidR="00FE6084">
        <w:rPr>
          <w:sz w:val="24"/>
          <w:szCs w:val="24"/>
        </w:rPr>
        <w:t>in Virginia</w:t>
      </w:r>
      <w:r w:rsidR="001F750D">
        <w:rPr>
          <w:sz w:val="24"/>
          <w:szCs w:val="24"/>
        </w:rPr>
        <w:t>.</w:t>
      </w:r>
    </w:p>
    <w:p w14:paraId="3BD15106" w14:textId="77777777" w:rsidR="00C14C09" w:rsidRDefault="00C14C09" w:rsidP="008B4B8D">
      <w:pPr>
        <w:spacing w:after="0"/>
        <w:rPr>
          <w:sz w:val="24"/>
          <w:szCs w:val="24"/>
        </w:rPr>
      </w:pPr>
    </w:p>
    <w:p w14:paraId="344A0E16" w14:textId="1980733A" w:rsidR="00A67CB4" w:rsidRDefault="001F750D" w:rsidP="008B4B8D">
      <w:pPr>
        <w:spacing w:after="0"/>
        <w:rPr>
          <w:sz w:val="24"/>
          <w:szCs w:val="24"/>
        </w:rPr>
      </w:pPr>
      <w:r>
        <w:rPr>
          <w:sz w:val="24"/>
          <w:szCs w:val="24"/>
        </w:rPr>
        <w:t xml:space="preserve">The most widely used casks in the United States are </w:t>
      </w:r>
      <w:r w:rsidR="004575CB">
        <w:rPr>
          <w:sz w:val="24"/>
          <w:szCs w:val="24"/>
        </w:rPr>
        <w:t xml:space="preserve">the </w:t>
      </w:r>
      <w:r>
        <w:rPr>
          <w:sz w:val="24"/>
          <w:szCs w:val="24"/>
        </w:rPr>
        <w:t>HOLTEC</w:t>
      </w:r>
      <w:r w:rsidR="004575CB">
        <w:rPr>
          <w:sz w:val="24"/>
          <w:szCs w:val="24"/>
        </w:rPr>
        <w:t xml:space="preserve"> and </w:t>
      </w:r>
      <w:r>
        <w:rPr>
          <w:sz w:val="24"/>
          <w:szCs w:val="24"/>
        </w:rPr>
        <w:t>NUHOMS</w:t>
      </w:r>
      <w:r w:rsidR="00FE6084">
        <w:rPr>
          <w:sz w:val="24"/>
          <w:szCs w:val="24"/>
        </w:rPr>
        <w:t>.</w:t>
      </w:r>
      <w:r w:rsidR="004575CB">
        <w:rPr>
          <w:sz w:val="24"/>
          <w:szCs w:val="24"/>
        </w:rPr>
        <w:t xml:space="preserve"> </w:t>
      </w:r>
      <w:r w:rsidR="00FE6084">
        <w:rPr>
          <w:sz w:val="24"/>
          <w:szCs w:val="24"/>
        </w:rPr>
        <w:t>T</w:t>
      </w:r>
      <w:r>
        <w:rPr>
          <w:sz w:val="24"/>
          <w:szCs w:val="24"/>
        </w:rPr>
        <w:t xml:space="preserve">he </w:t>
      </w:r>
      <w:r w:rsidR="00FE6084">
        <w:rPr>
          <w:sz w:val="24"/>
          <w:szCs w:val="24"/>
        </w:rPr>
        <w:t>NUHOMS</w:t>
      </w:r>
      <w:r>
        <w:rPr>
          <w:sz w:val="24"/>
          <w:szCs w:val="24"/>
        </w:rPr>
        <w:t xml:space="preserve"> casks </w:t>
      </w:r>
      <w:r w:rsidR="00FE6084">
        <w:rPr>
          <w:sz w:val="24"/>
          <w:szCs w:val="24"/>
        </w:rPr>
        <w:t xml:space="preserve">are sealed canisters </w:t>
      </w:r>
      <w:r w:rsidR="00A67CB4">
        <w:rPr>
          <w:sz w:val="24"/>
          <w:szCs w:val="24"/>
        </w:rPr>
        <w:t xml:space="preserve">holding nuclear fuel </w:t>
      </w:r>
      <w:r w:rsidR="00FE6084">
        <w:rPr>
          <w:sz w:val="24"/>
          <w:szCs w:val="24"/>
        </w:rPr>
        <w:t xml:space="preserve">that </w:t>
      </w:r>
      <w:r>
        <w:rPr>
          <w:sz w:val="24"/>
          <w:szCs w:val="24"/>
        </w:rPr>
        <w:t>fit into a horizontal concrete box</w:t>
      </w:r>
      <w:r w:rsidR="00F3439F">
        <w:rPr>
          <w:sz w:val="24"/>
          <w:szCs w:val="24"/>
        </w:rPr>
        <w:t>.</w:t>
      </w:r>
      <w:r>
        <w:rPr>
          <w:sz w:val="24"/>
          <w:szCs w:val="24"/>
        </w:rPr>
        <w:t xml:space="preserve"> The nuclear </w:t>
      </w:r>
      <w:r w:rsidR="00A67CB4">
        <w:rPr>
          <w:sz w:val="24"/>
          <w:szCs w:val="24"/>
        </w:rPr>
        <w:t>fuel assemblies fit</w:t>
      </w:r>
      <w:r>
        <w:rPr>
          <w:sz w:val="24"/>
          <w:szCs w:val="24"/>
        </w:rPr>
        <w:t xml:space="preserve"> within a lattice work inside </w:t>
      </w:r>
      <w:r w:rsidR="00A67CB4">
        <w:rPr>
          <w:sz w:val="24"/>
          <w:szCs w:val="24"/>
        </w:rPr>
        <w:t xml:space="preserve">the stainless steel </w:t>
      </w:r>
      <w:r>
        <w:rPr>
          <w:sz w:val="24"/>
          <w:szCs w:val="24"/>
        </w:rPr>
        <w:t>cylinder which is welded shut</w:t>
      </w:r>
      <w:r w:rsidR="00A67CB4">
        <w:rPr>
          <w:sz w:val="24"/>
          <w:szCs w:val="24"/>
        </w:rPr>
        <w:t>. The canister</w:t>
      </w:r>
      <w:r>
        <w:rPr>
          <w:sz w:val="24"/>
          <w:szCs w:val="24"/>
        </w:rPr>
        <w:t xml:space="preserve"> holds 24 P</w:t>
      </w:r>
      <w:r w:rsidR="00A67CB4">
        <w:rPr>
          <w:sz w:val="24"/>
          <w:szCs w:val="24"/>
        </w:rPr>
        <w:t>WR</w:t>
      </w:r>
      <w:r>
        <w:rPr>
          <w:sz w:val="24"/>
          <w:szCs w:val="24"/>
        </w:rPr>
        <w:t xml:space="preserve"> fuel assemblies.</w:t>
      </w:r>
    </w:p>
    <w:p w14:paraId="0347FD71" w14:textId="77777777" w:rsidR="00A67CB4" w:rsidRDefault="00A67CB4" w:rsidP="008B4B8D">
      <w:pPr>
        <w:spacing w:after="0"/>
        <w:rPr>
          <w:sz w:val="24"/>
          <w:szCs w:val="24"/>
        </w:rPr>
      </w:pPr>
    </w:p>
    <w:p w14:paraId="77210749" w14:textId="10B2024C" w:rsidR="00A167AB" w:rsidRDefault="001839D7" w:rsidP="008B4B8D">
      <w:pPr>
        <w:spacing w:after="0"/>
        <w:rPr>
          <w:sz w:val="24"/>
          <w:szCs w:val="24"/>
        </w:rPr>
      </w:pPr>
      <w:r>
        <w:rPr>
          <w:sz w:val="24"/>
          <w:szCs w:val="24"/>
        </w:rPr>
        <w:t>T</w:t>
      </w:r>
      <w:r w:rsidR="00FE5661">
        <w:rPr>
          <w:sz w:val="24"/>
          <w:szCs w:val="24"/>
        </w:rPr>
        <w:t xml:space="preserve">he Holtec cask is a concrete upright cylinder into which sits </w:t>
      </w:r>
      <w:r w:rsidR="00A67CB4">
        <w:rPr>
          <w:sz w:val="24"/>
          <w:szCs w:val="24"/>
        </w:rPr>
        <w:t>a</w:t>
      </w:r>
      <w:r w:rsidR="00FE5661">
        <w:rPr>
          <w:sz w:val="24"/>
          <w:szCs w:val="24"/>
        </w:rPr>
        <w:t xml:space="preserve"> </w:t>
      </w:r>
      <w:r>
        <w:rPr>
          <w:sz w:val="24"/>
          <w:szCs w:val="24"/>
        </w:rPr>
        <w:t xml:space="preserve">sealed </w:t>
      </w:r>
      <w:r w:rsidR="00FE5661">
        <w:rPr>
          <w:sz w:val="24"/>
          <w:szCs w:val="24"/>
        </w:rPr>
        <w:t xml:space="preserve">canister holding 24 </w:t>
      </w:r>
      <w:r w:rsidR="0094783A">
        <w:rPr>
          <w:sz w:val="24"/>
          <w:szCs w:val="24"/>
        </w:rPr>
        <w:t>P</w:t>
      </w:r>
      <w:r>
        <w:rPr>
          <w:sz w:val="24"/>
          <w:szCs w:val="24"/>
        </w:rPr>
        <w:t xml:space="preserve">WR </w:t>
      </w:r>
      <w:r w:rsidR="00FE5661">
        <w:rPr>
          <w:sz w:val="24"/>
          <w:szCs w:val="24"/>
        </w:rPr>
        <w:t>fuel assemblies</w:t>
      </w:r>
      <w:r>
        <w:rPr>
          <w:sz w:val="24"/>
          <w:szCs w:val="24"/>
        </w:rPr>
        <w:t xml:space="preserve"> or as</w:t>
      </w:r>
      <w:r w:rsidR="00FE5661">
        <w:rPr>
          <w:sz w:val="24"/>
          <w:szCs w:val="24"/>
        </w:rPr>
        <w:t xml:space="preserve"> many </w:t>
      </w:r>
      <w:r>
        <w:rPr>
          <w:sz w:val="24"/>
          <w:szCs w:val="24"/>
        </w:rPr>
        <w:t xml:space="preserve">as 68 BWR fuel assemblies. </w:t>
      </w:r>
    </w:p>
    <w:p w14:paraId="29B3A3BE" w14:textId="71F8AA24" w:rsidR="00852AF6" w:rsidRDefault="00852AF6" w:rsidP="008B4B8D">
      <w:pPr>
        <w:spacing w:after="0"/>
        <w:rPr>
          <w:sz w:val="24"/>
          <w:szCs w:val="24"/>
        </w:rPr>
      </w:pPr>
    </w:p>
    <w:p w14:paraId="230F476A" w14:textId="23E042DE" w:rsidR="001839D7" w:rsidRDefault="00852AF6" w:rsidP="00960FD8">
      <w:pPr>
        <w:spacing w:after="0"/>
        <w:rPr>
          <w:rFonts w:ascii="Arial" w:eastAsia="Times New Roman" w:hAnsi="Arial" w:cs="Arial"/>
          <w:color w:val="000000"/>
          <w:sz w:val="24"/>
          <w:szCs w:val="24"/>
        </w:rPr>
      </w:pPr>
      <w:r w:rsidRPr="00852AF6">
        <w:rPr>
          <w:rFonts w:ascii="Arial" w:eastAsia="Times New Roman" w:hAnsi="Arial" w:cs="Arial"/>
          <w:color w:val="000000"/>
          <w:sz w:val="24"/>
          <w:szCs w:val="24"/>
        </w:rPr>
        <w:t xml:space="preserve">The </w:t>
      </w:r>
      <w:r w:rsidR="00A67CB4">
        <w:rPr>
          <w:rFonts w:ascii="Arial" w:eastAsia="Times New Roman" w:hAnsi="Arial" w:cs="Arial"/>
          <w:color w:val="000000"/>
          <w:sz w:val="24"/>
          <w:szCs w:val="24"/>
        </w:rPr>
        <w:t>HOLTEC</w:t>
      </w:r>
      <w:r w:rsidRPr="00852AF6">
        <w:rPr>
          <w:rFonts w:ascii="Arial" w:eastAsia="Times New Roman" w:hAnsi="Arial" w:cs="Arial"/>
          <w:color w:val="000000"/>
          <w:sz w:val="24"/>
          <w:szCs w:val="24"/>
        </w:rPr>
        <w:t xml:space="preserve"> cask is a concrete cylinder that's 2 1/2 to 3 feet thick. </w:t>
      </w:r>
      <w:r w:rsidR="00A67CB4">
        <w:rPr>
          <w:rFonts w:ascii="Arial" w:eastAsia="Times New Roman" w:hAnsi="Arial" w:cs="Arial"/>
          <w:color w:val="000000"/>
          <w:sz w:val="24"/>
          <w:szCs w:val="24"/>
        </w:rPr>
        <w:t>One sabotage event</w:t>
      </w:r>
      <w:r w:rsidRPr="00852AF6">
        <w:rPr>
          <w:rFonts w:ascii="Arial" w:eastAsia="Times New Roman" w:hAnsi="Arial" w:cs="Arial"/>
          <w:color w:val="000000"/>
          <w:sz w:val="24"/>
          <w:szCs w:val="24"/>
        </w:rPr>
        <w:t xml:space="preserve"> would </w:t>
      </w:r>
      <w:r w:rsidR="00A67CB4">
        <w:rPr>
          <w:rFonts w:ascii="Arial" w:eastAsia="Times New Roman" w:hAnsi="Arial" w:cs="Arial"/>
          <w:color w:val="000000"/>
          <w:sz w:val="24"/>
          <w:szCs w:val="24"/>
        </w:rPr>
        <w:t xml:space="preserve">be the use of TNT or PETN </w:t>
      </w:r>
      <w:r w:rsidRPr="00852AF6">
        <w:rPr>
          <w:rFonts w:ascii="Arial" w:eastAsia="Times New Roman" w:hAnsi="Arial" w:cs="Arial"/>
          <w:color w:val="000000"/>
          <w:sz w:val="24"/>
          <w:szCs w:val="24"/>
        </w:rPr>
        <w:t xml:space="preserve">to </w:t>
      </w:r>
      <w:r w:rsidR="00287FE7">
        <w:rPr>
          <w:rFonts w:ascii="Arial" w:eastAsia="Times New Roman" w:hAnsi="Arial" w:cs="Arial"/>
          <w:color w:val="000000"/>
          <w:sz w:val="24"/>
          <w:szCs w:val="24"/>
        </w:rPr>
        <w:t>blast</w:t>
      </w:r>
      <w:r w:rsidRPr="00852AF6">
        <w:rPr>
          <w:rFonts w:ascii="Arial" w:eastAsia="Times New Roman" w:hAnsi="Arial" w:cs="Arial"/>
          <w:color w:val="000000"/>
          <w:sz w:val="24"/>
          <w:szCs w:val="24"/>
        </w:rPr>
        <w:t xml:space="preserve"> a hole in the side of the concrete cylinder. I looked into the amount of TNT required to make </w:t>
      </w:r>
      <w:r w:rsidR="00A67CB4">
        <w:rPr>
          <w:rFonts w:ascii="Arial" w:eastAsia="Times New Roman" w:hAnsi="Arial" w:cs="Arial"/>
          <w:color w:val="000000"/>
          <w:sz w:val="24"/>
          <w:szCs w:val="24"/>
        </w:rPr>
        <w:t>a hole in a</w:t>
      </w:r>
      <w:r w:rsidRPr="00852AF6">
        <w:rPr>
          <w:rFonts w:ascii="Arial" w:eastAsia="Times New Roman" w:hAnsi="Arial" w:cs="Arial"/>
          <w:color w:val="000000"/>
          <w:sz w:val="24"/>
          <w:szCs w:val="24"/>
        </w:rPr>
        <w:t xml:space="preserve"> 3 foot concrete cylinder</w:t>
      </w:r>
      <w:r w:rsidR="00287FE7">
        <w:rPr>
          <w:rFonts w:ascii="Arial" w:eastAsia="Times New Roman" w:hAnsi="Arial" w:cs="Arial"/>
          <w:color w:val="000000"/>
          <w:sz w:val="24"/>
          <w:szCs w:val="24"/>
        </w:rPr>
        <w:t>.</w:t>
      </w:r>
      <w:r w:rsidRPr="00852AF6">
        <w:rPr>
          <w:rFonts w:ascii="Arial" w:eastAsia="Times New Roman" w:hAnsi="Arial" w:cs="Arial"/>
          <w:color w:val="000000"/>
          <w:sz w:val="24"/>
          <w:szCs w:val="24"/>
        </w:rPr>
        <w:t xml:space="preserve"> My calculations show that i</w:t>
      </w:r>
      <w:r w:rsidR="00287FE7">
        <w:rPr>
          <w:rFonts w:ascii="Arial" w:eastAsia="Times New Roman" w:hAnsi="Arial" w:cs="Arial"/>
          <w:color w:val="000000"/>
          <w:sz w:val="24"/>
          <w:szCs w:val="24"/>
        </w:rPr>
        <w:t>f</w:t>
      </w:r>
      <w:r w:rsidRPr="00852AF6">
        <w:rPr>
          <w:rFonts w:ascii="Arial" w:eastAsia="Times New Roman" w:hAnsi="Arial" w:cs="Arial"/>
          <w:color w:val="000000"/>
          <w:sz w:val="24"/>
          <w:szCs w:val="24"/>
        </w:rPr>
        <w:t xml:space="preserve"> TNT is located immediately adjacent to the concrete cylinder, it would require 78 pounds of TNT or a smaller amount P</w:t>
      </w:r>
      <w:r w:rsidR="001839D7">
        <w:rPr>
          <w:rFonts w:ascii="Arial" w:eastAsia="Times New Roman" w:hAnsi="Arial" w:cs="Arial"/>
          <w:color w:val="000000"/>
          <w:sz w:val="24"/>
          <w:szCs w:val="24"/>
        </w:rPr>
        <w:t>E</w:t>
      </w:r>
      <w:r w:rsidRPr="00852AF6">
        <w:rPr>
          <w:rFonts w:ascii="Arial" w:eastAsia="Times New Roman" w:hAnsi="Arial" w:cs="Arial"/>
          <w:color w:val="000000"/>
          <w:sz w:val="24"/>
          <w:szCs w:val="24"/>
        </w:rPr>
        <w:t>TN</w:t>
      </w:r>
      <w:r w:rsidR="001839D7">
        <w:rPr>
          <w:rFonts w:ascii="Arial" w:eastAsia="Times New Roman" w:hAnsi="Arial" w:cs="Arial"/>
          <w:color w:val="000000"/>
          <w:sz w:val="24"/>
          <w:szCs w:val="24"/>
        </w:rPr>
        <w:t>. Probably</w:t>
      </w:r>
      <w:r w:rsidRPr="00852AF6">
        <w:rPr>
          <w:rFonts w:ascii="Arial" w:eastAsia="Times New Roman" w:hAnsi="Arial" w:cs="Arial"/>
          <w:color w:val="000000"/>
          <w:sz w:val="24"/>
          <w:szCs w:val="24"/>
        </w:rPr>
        <w:t xml:space="preserve"> a smaller </w:t>
      </w:r>
      <w:r w:rsidR="001839D7">
        <w:rPr>
          <w:rFonts w:ascii="Arial" w:eastAsia="Times New Roman" w:hAnsi="Arial" w:cs="Arial"/>
          <w:color w:val="000000"/>
          <w:sz w:val="24"/>
          <w:szCs w:val="24"/>
        </w:rPr>
        <w:t xml:space="preserve">amount of </w:t>
      </w:r>
      <w:r w:rsidRPr="00852AF6">
        <w:rPr>
          <w:rFonts w:ascii="Arial" w:eastAsia="Times New Roman" w:hAnsi="Arial" w:cs="Arial"/>
          <w:color w:val="000000"/>
          <w:sz w:val="24"/>
          <w:szCs w:val="24"/>
        </w:rPr>
        <w:t>a shape</w:t>
      </w:r>
      <w:r w:rsidR="001839D7">
        <w:rPr>
          <w:rFonts w:ascii="Arial" w:eastAsia="Times New Roman" w:hAnsi="Arial" w:cs="Arial"/>
          <w:color w:val="000000"/>
          <w:sz w:val="24"/>
          <w:szCs w:val="24"/>
        </w:rPr>
        <w:t>d</w:t>
      </w:r>
      <w:r w:rsidRPr="00852AF6">
        <w:rPr>
          <w:rFonts w:ascii="Arial" w:eastAsia="Times New Roman" w:hAnsi="Arial" w:cs="Arial"/>
          <w:color w:val="000000"/>
          <w:sz w:val="24"/>
          <w:szCs w:val="24"/>
        </w:rPr>
        <w:t xml:space="preserve"> charge </w:t>
      </w:r>
      <w:r w:rsidR="001839D7">
        <w:rPr>
          <w:rFonts w:ascii="Arial" w:eastAsia="Times New Roman" w:hAnsi="Arial" w:cs="Arial"/>
          <w:color w:val="000000"/>
          <w:sz w:val="24"/>
          <w:szCs w:val="24"/>
        </w:rPr>
        <w:t>would be as effective</w:t>
      </w:r>
      <w:r w:rsidRPr="00852AF6">
        <w:rPr>
          <w:rFonts w:ascii="Arial" w:eastAsia="Times New Roman" w:hAnsi="Arial" w:cs="Arial"/>
          <w:color w:val="000000"/>
          <w:sz w:val="24"/>
          <w:szCs w:val="24"/>
        </w:rPr>
        <w:t xml:space="preserve">. It would also require less </w:t>
      </w:r>
      <w:r w:rsidR="00F3439F">
        <w:rPr>
          <w:rFonts w:ascii="Arial" w:eastAsia="Times New Roman" w:hAnsi="Arial" w:cs="Arial"/>
          <w:color w:val="000000"/>
          <w:sz w:val="24"/>
          <w:szCs w:val="24"/>
        </w:rPr>
        <w:t xml:space="preserve">TNT </w:t>
      </w:r>
      <w:r w:rsidRPr="00852AF6">
        <w:rPr>
          <w:rFonts w:ascii="Arial" w:eastAsia="Times New Roman" w:hAnsi="Arial" w:cs="Arial"/>
          <w:color w:val="000000"/>
          <w:sz w:val="24"/>
          <w:szCs w:val="24"/>
        </w:rPr>
        <w:t>weight if the concrete cylinder w</w:t>
      </w:r>
      <w:r w:rsidR="001839D7">
        <w:rPr>
          <w:rFonts w:ascii="Arial" w:eastAsia="Times New Roman" w:hAnsi="Arial" w:cs="Arial"/>
          <w:color w:val="000000"/>
          <w:sz w:val="24"/>
          <w:szCs w:val="24"/>
        </w:rPr>
        <w:t xml:space="preserve">ere </w:t>
      </w:r>
      <w:r w:rsidR="00A67CB4">
        <w:rPr>
          <w:rFonts w:ascii="Arial" w:eastAsia="Times New Roman" w:hAnsi="Arial" w:cs="Arial"/>
          <w:color w:val="000000"/>
          <w:sz w:val="24"/>
          <w:szCs w:val="24"/>
        </w:rPr>
        <w:t>2 1/2 feet thick. An a</w:t>
      </w:r>
      <w:r w:rsidRPr="00852AF6">
        <w:rPr>
          <w:rFonts w:ascii="Arial" w:eastAsia="Times New Roman" w:hAnsi="Arial" w:cs="Arial"/>
          <w:color w:val="000000"/>
          <w:sz w:val="24"/>
          <w:szCs w:val="24"/>
        </w:rPr>
        <w:t xml:space="preserve">dditional </w:t>
      </w:r>
      <w:r w:rsidR="00A67CB4">
        <w:rPr>
          <w:rFonts w:ascii="Arial" w:eastAsia="Times New Roman" w:hAnsi="Arial" w:cs="Arial"/>
          <w:color w:val="000000"/>
          <w:sz w:val="24"/>
          <w:szCs w:val="24"/>
        </w:rPr>
        <w:t xml:space="preserve">small amount of </w:t>
      </w:r>
      <w:r w:rsidRPr="00852AF6">
        <w:rPr>
          <w:rFonts w:ascii="Arial" w:eastAsia="Times New Roman" w:hAnsi="Arial" w:cs="Arial"/>
          <w:color w:val="000000"/>
          <w:sz w:val="24"/>
          <w:szCs w:val="24"/>
        </w:rPr>
        <w:t xml:space="preserve">explosive material </w:t>
      </w:r>
      <w:r w:rsidR="00A67CB4">
        <w:rPr>
          <w:rFonts w:ascii="Arial" w:eastAsia="Times New Roman" w:hAnsi="Arial" w:cs="Arial"/>
          <w:color w:val="000000"/>
          <w:sz w:val="24"/>
          <w:szCs w:val="24"/>
        </w:rPr>
        <w:t xml:space="preserve">would be required </w:t>
      </w:r>
      <w:r w:rsidRPr="00852AF6">
        <w:rPr>
          <w:rFonts w:ascii="Arial" w:eastAsia="Times New Roman" w:hAnsi="Arial" w:cs="Arial"/>
          <w:color w:val="000000"/>
          <w:sz w:val="24"/>
          <w:szCs w:val="24"/>
        </w:rPr>
        <w:t>to make a hole in the stainless steel canister</w:t>
      </w:r>
      <w:r w:rsidR="00287FE7">
        <w:rPr>
          <w:rFonts w:ascii="Arial" w:eastAsia="Times New Roman" w:hAnsi="Arial" w:cs="Arial"/>
          <w:color w:val="000000"/>
          <w:sz w:val="24"/>
          <w:szCs w:val="24"/>
        </w:rPr>
        <w:t xml:space="preserve"> since the</w:t>
      </w:r>
      <w:r w:rsidRPr="00852AF6">
        <w:rPr>
          <w:rFonts w:ascii="Arial" w:eastAsia="Times New Roman" w:hAnsi="Arial" w:cs="Arial"/>
          <w:color w:val="000000"/>
          <w:sz w:val="24"/>
          <w:szCs w:val="24"/>
        </w:rPr>
        <w:t xml:space="preserve"> </w:t>
      </w:r>
      <w:r w:rsidR="001839D7">
        <w:rPr>
          <w:rFonts w:ascii="Arial" w:eastAsia="Times New Roman" w:hAnsi="Arial" w:cs="Arial"/>
          <w:color w:val="000000"/>
          <w:sz w:val="24"/>
          <w:szCs w:val="24"/>
        </w:rPr>
        <w:t>stainless steel</w:t>
      </w:r>
      <w:r w:rsidRPr="00852AF6">
        <w:rPr>
          <w:rFonts w:ascii="Arial" w:eastAsia="Times New Roman" w:hAnsi="Arial" w:cs="Arial"/>
          <w:color w:val="000000"/>
          <w:sz w:val="24"/>
          <w:szCs w:val="24"/>
        </w:rPr>
        <w:t xml:space="preserve"> </w:t>
      </w:r>
      <w:r w:rsidR="001839D7">
        <w:rPr>
          <w:rFonts w:ascii="Arial" w:eastAsia="Times New Roman" w:hAnsi="Arial" w:cs="Arial"/>
          <w:color w:val="000000"/>
          <w:sz w:val="24"/>
          <w:szCs w:val="24"/>
        </w:rPr>
        <w:t xml:space="preserve">canister </w:t>
      </w:r>
      <w:r w:rsidRPr="00852AF6">
        <w:rPr>
          <w:rFonts w:ascii="Arial" w:eastAsia="Times New Roman" w:hAnsi="Arial" w:cs="Arial"/>
          <w:color w:val="000000"/>
          <w:sz w:val="24"/>
          <w:szCs w:val="24"/>
        </w:rPr>
        <w:t xml:space="preserve">is only one half inch thick. </w:t>
      </w:r>
    </w:p>
    <w:p w14:paraId="7F69382C" w14:textId="77777777" w:rsidR="001839D7" w:rsidRDefault="001839D7" w:rsidP="00960FD8">
      <w:pPr>
        <w:spacing w:after="0"/>
        <w:rPr>
          <w:rFonts w:ascii="Arial" w:eastAsia="Times New Roman" w:hAnsi="Arial" w:cs="Arial"/>
          <w:color w:val="000000"/>
          <w:sz w:val="24"/>
          <w:szCs w:val="24"/>
        </w:rPr>
      </w:pPr>
    </w:p>
    <w:p w14:paraId="78861FC1" w14:textId="1F7BB28F" w:rsidR="00852AF6" w:rsidRDefault="00852AF6" w:rsidP="00960FD8">
      <w:pPr>
        <w:spacing w:after="0"/>
        <w:rPr>
          <w:rFonts w:ascii="Arial" w:eastAsia="Times New Roman" w:hAnsi="Arial" w:cs="Arial"/>
          <w:color w:val="000000"/>
          <w:sz w:val="24"/>
          <w:szCs w:val="24"/>
        </w:rPr>
      </w:pPr>
      <w:r w:rsidRPr="00852AF6">
        <w:rPr>
          <w:rFonts w:ascii="Arial" w:eastAsia="Times New Roman" w:hAnsi="Arial" w:cs="Arial"/>
          <w:color w:val="000000"/>
          <w:sz w:val="24"/>
          <w:szCs w:val="24"/>
        </w:rPr>
        <w:t xml:space="preserve">The amount of TNT needed </w:t>
      </w:r>
      <w:r w:rsidR="00287FE7">
        <w:rPr>
          <w:rFonts w:ascii="Arial" w:eastAsia="Times New Roman" w:hAnsi="Arial" w:cs="Arial"/>
          <w:color w:val="000000"/>
          <w:sz w:val="24"/>
          <w:szCs w:val="24"/>
        </w:rPr>
        <w:t>would</w:t>
      </w:r>
      <w:r w:rsidRPr="00852AF6">
        <w:rPr>
          <w:rFonts w:ascii="Arial" w:eastAsia="Times New Roman" w:hAnsi="Arial" w:cs="Arial"/>
          <w:color w:val="000000"/>
          <w:sz w:val="24"/>
          <w:szCs w:val="24"/>
        </w:rPr>
        <w:t xml:space="preserve"> be increased if the charge were located some distance from the cask.</w:t>
      </w:r>
      <w:r>
        <w:rPr>
          <w:rFonts w:ascii="Arial" w:eastAsia="Times New Roman" w:hAnsi="Arial" w:cs="Arial"/>
          <w:color w:val="000000"/>
          <w:sz w:val="24"/>
          <w:szCs w:val="24"/>
        </w:rPr>
        <w:t xml:space="preserve">  The weight of TNT goes essentially as the </w:t>
      </w:r>
      <w:r w:rsidR="00287FE7">
        <w:rPr>
          <w:rFonts w:ascii="Arial" w:eastAsia="Times New Roman" w:hAnsi="Arial" w:cs="Arial"/>
          <w:color w:val="000000"/>
          <w:sz w:val="24"/>
          <w:szCs w:val="24"/>
        </w:rPr>
        <w:t>cub</w:t>
      </w:r>
      <w:r>
        <w:rPr>
          <w:rFonts w:ascii="Arial" w:eastAsia="Times New Roman" w:hAnsi="Arial" w:cs="Arial"/>
          <w:color w:val="000000"/>
          <w:sz w:val="24"/>
          <w:szCs w:val="24"/>
        </w:rPr>
        <w:t>e of the distance between the charge and the cylinder.  The formula is the following:</w:t>
      </w:r>
    </w:p>
    <w:p w14:paraId="684E50B9" w14:textId="77777777" w:rsidR="00287FE7" w:rsidRDefault="00287FE7" w:rsidP="00960FD8">
      <w:pPr>
        <w:spacing w:after="0"/>
        <w:rPr>
          <w:rFonts w:ascii="Arial" w:eastAsia="Times New Roman" w:hAnsi="Arial" w:cs="Arial"/>
          <w:color w:val="000000"/>
          <w:sz w:val="24"/>
          <w:szCs w:val="24"/>
        </w:rPr>
      </w:pPr>
    </w:p>
    <w:p w14:paraId="62E2473D" w14:textId="007A1B3C" w:rsidR="00852AF6" w:rsidRDefault="00287FE7" w:rsidP="00287FE7">
      <w:pPr>
        <w:spacing w:after="0" w:line="240" w:lineRule="auto"/>
        <w:ind w:left="1440" w:firstLine="720"/>
        <w:rPr>
          <w:rFonts w:ascii="Arial" w:eastAsia="Times New Roman" w:hAnsi="Arial" w:cs="Arial"/>
          <w:color w:val="000000"/>
          <w:sz w:val="24"/>
          <w:szCs w:val="24"/>
        </w:rPr>
      </w:pPr>
      <w:r>
        <w:rPr>
          <w:rFonts w:ascii="Arial" w:eastAsia="Times New Roman" w:hAnsi="Arial" w:cs="Arial"/>
          <w:color w:val="000000"/>
          <w:sz w:val="24"/>
          <w:szCs w:val="24"/>
        </w:rPr>
        <w:t>P = R</w:t>
      </w:r>
      <w:r w:rsidRPr="00287FE7">
        <w:rPr>
          <w:rFonts w:ascii="Arial" w:eastAsia="Times New Roman" w:hAnsi="Arial" w:cs="Arial"/>
          <w:color w:val="000000"/>
          <w:sz w:val="24"/>
          <w:szCs w:val="24"/>
          <w:vertAlign w:val="superscript"/>
        </w:rPr>
        <w:t>3</w:t>
      </w:r>
      <w:r>
        <w:rPr>
          <w:rFonts w:ascii="Arial" w:eastAsia="Times New Roman" w:hAnsi="Arial" w:cs="Arial"/>
          <w:color w:val="000000"/>
          <w:sz w:val="24"/>
          <w:szCs w:val="24"/>
        </w:rPr>
        <w:t>KC</w:t>
      </w:r>
    </w:p>
    <w:p w14:paraId="2B619188" w14:textId="77777777" w:rsidR="00A23363" w:rsidRDefault="00A23363" w:rsidP="00287FE7">
      <w:pPr>
        <w:spacing w:after="0" w:line="240" w:lineRule="auto"/>
        <w:ind w:left="1440" w:firstLine="720"/>
        <w:rPr>
          <w:rFonts w:ascii="Arial" w:eastAsia="Times New Roman" w:hAnsi="Arial" w:cs="Arial"/>
          <w:color w:val="000000"/>
          <w:sz w:val="24"/>
          <w:szCs w:val="24"/>
        </w:rPr>
      </w:pPr>
    </w:p>
    <w:p w14:paraId="63FCEDCE" w14:textId="2C8A5210" w:rsidR="00852AF6" w:rsidRDefault="00A23363" w:rsidP="00960FD8">
      <w:pPr>
        <w:spacing w:after="0"/>
        <w:rPr>
          <w:rFonts w:ascii="Arial" w:eastAsia="Times New Roman" w:hAnsi="Arial" w:cs="Arial"/>
          <w:color w:val="000000"/>
          <w:sz w:val="24"/>
          <w:szCs w:val="24"/>
        </w:rPr>
      </w:pPr>
      <w:r>
        <w:rPr>
          <w:rFonts w:ascii="Arial" w:eastAsia="Times New Roman" w:hAnsi="Arial" w:cs="Arial"/>
          <w:color w:val="000000"/>
          <w:sz w:val="24"/>
          <w:szCs w:val="24"/>
        </w:rPr>
        <w:t>Where R is the distance to the object</w:t>
      </w:r>
    </w:p>
    <w:p w14:paraId="3FE41870" w14:textId="06272390" w:rsidR="00A23363" w:rsidRDefault="00A23363" w:rsidP="00960FD8">
      <w:pPr>
        <w:spacing w:after="0"/>
        <w:rPr>
          <w:rFonts w:ascii="Arial" w:eastAsia="Times New Roman" w:hAnsi="Arial" w:cs="Arial"/>
          <w:color w:val="000000"/>
          <w:sz w:val="24"/>
          <w:szCs w:val="24"/>
        </w:rPr>
      </w:pPr>
      <w:r>
        <w:rPr>
          <w:rFonts w:ascii="Arial" w:eastAsia="Times New Roman" w:hAnsi="Arial" w:cs="Arial"/>
          <w:color w:val="000000"/>
          <w:sz w:val="24"/>
          <w:szCs w:val="24"/>
        </w:rPr>
        <w:tab/>
        <w:t xml:space="preserve"> K is</w:t>
      </w:r>
      <w:r w:rsidR="00A67CB4">
        <w:rPr>
          <w:rFonts w:ascii="Arial" w:eastAsia="Times New Roman" w:hAnsi="Arial" w:cs="Arial"/>
          <w:color w:val="000000"/>
          <w:sz w:val="24"/>
          <w:szCs w:val="24"/>
        </w:rPr>
        <w:t xml:space="preserve"> a material factor, a function of the strength</w:t>
      </w:r>
      <w:r w:rsidR="00FF2C8C">
        <w:rPr>
          <w:rFonts w:ascii="Arial" w:eastAsia="Times New Roman" w:hAnsi="Arial" w:cs="Arial"/>
          <w:color w:val="000000"/>
          <w:sz w:val="24"/>
          <w:szCs w:val="24"/>
        </w:rPr>
        <w:t>, mass and thickness</w:t>
      </w:r>
      <w:r w:rsidR="00F3439F">
        <w:rPr>
          <w:rFonts w:ascii="Arial" w:eastAsia="Times New Roman" w:hAnsi="Arial" w:cs="Arial"/>
          <w:color w:val="000000"/>
          <w:sz w:val="24"/>
          <w:szCs w:val="24"/>
        </w:rPr>
        <w:t xml:space="preserve"> of the target</w:t>
      </w:r>
    </w:p>
    <w:p w14:paraId="0D8E3F6E" w14:textId="06DD71E8" w:rsidR="00A23363" w:rsidRPr="00852AF6" w:rsidRDefault="00A23363" w:rsidP="00960FD8">
      <w:pPr>
        <w:spacing w:after="0"/>
        <w:rPr>
          <w:rFonts w:ascii="Arial" w:eastAsia="Times New Roman" w:hAnsi="Arial" w:cs="Arial"/>
          <w:color w:val="000000"/>
          <w:sz w:val="24"/>
          <w:szCs w:val="24"/>
        </w:rPr>
      </w:pPr>
      <w:r>
        <w:rPr>
          <w:rFonts w:ascii="Arial" w:eastAsia="Times New Roman" w:hAnsi="Arial" w:cs="Arial"/>
          <w:color w:val="000000"/>
          <w:sz w:val="24"/>
          <w:szCs w:val="24"/>
        </w:rPr>
        <w:tab/>
        <w:t xml:space="preserve"> C is </w:t>
      </w:r>
      <w:r w:rsidR="00FF2C8C">
        <w:rPr>
          <w:rFonts w:ascii="Arial" w:eastAsia="Times New Roman" w:hAnsi="Arial" w:cs="Arial"/>
          <w:color w:val="000000"/>
          <w:sz w:val="24"/>
          <w:szCs w:val="24"/>
        </w:rPr>
        <w:t>the tamping factor, a function of the placement of the explosive.  E.g., if the explosive were placed in the air intake of the Holtec cask, which would effectively simultaneously destroy the concrete and the canister.</w:t>
      </w:r>
    </w:p>
    <w:p w14:paraId="59A6E196" w14:textId="0AFAA7B2" w:rsidR="004575CB" w:rsidRDefault="004575CB" w:rsidP="00960FD8">
      <w:pPr>
        <w:spacing w:after="0"/>
        <w:rPr>
          <w:rFonts w:ascii="Arial" w:hAnsi="Arial" w:cs="Arial"/>
          <w:sz w:val="24"/>
          <w:szCs w:val="24"/>
        </w:rPr>
      </w:pPr>
    </w:p>
    <w:p w14:paraId="33CE435A" w14:textId="77777777" w:rsidR="00F3439F" w:rsidRDefault="00F3439F" w:rsidP="00960FD8">
      <w:pPr>
        <w:spacing w:after="0"/>
        <w:rPr>
          <w:rFonts w:ascii="Arial" w:hAnsi="Arial" w:cs="Arial"/>
          <w:sz w:val="24"/>
          <w:szCs w:val="24"/>
        </w:rPr>
      </w:pPr>
    </w:p>
    <w:p w14:paraId="3B6C7BC4" w14:textId="3C92393A" w:rsidR="00F3439F" w:rsidRDefault="00F3439F" w:rsidP="00F15794">
      <w:pPr>
        <w:rPr>
          <w:sz w:val="24"/>
          <w:szCs w:val="24"/>
        </w:rPr>
      </w:pPr>
      <w:r w:rsidRPr="00F15794">
        <w:rPr>
          <w:sz w:val="24"/>
          <w:szCs w:val="24"/>
        </w:rPr>
        <w:t xml:space="preserve">For </w:t>
      </w:r>
      <w:r w:rsidR="00F15794" w:rsidRPr="00F15794">
        <w:rPr>
          <w:sz w:val="24"/>
          <w:szCs w:val="24"/>
        </w:rPr>
        <w:t xml:space="preserve">reinforced concrete and the explosive placed outside the </w:t>
      </w:r>
      <w:r w:rsidR="00F15794">
        <w:rPr>
          <w:sz w:val="24"/>
          <w:szCs w:val="24"/>
        </w:rPr>
        <w:t>Holtec cylinder, the amount of explosive required, is shown in Table 1.</w:t>
      </w:r>
    </w:p>
    <w:p w14:paraId="16E1D1B8" w14:textId="77777777" w:rsidR="00671DC9" w:rsidRDefault="00671DC9" w:rsidP="00F15794">
      <w:pPr>
        <w:rPr>
          <w:b/>
          <w:sz w:val="24"/>
          <w:szCs w:val="24"/>
        </w:rPr>
      </w:pPr>
      <w:r>
        <w:rPr>
          <w:b/>
          <w:sz w:val="24"/>
          <w:szCs w:val="24"/>
        </w:rPr>
        <w:br w:type="page"/>
      </w:r>
    </w:p>
    <w:p w14:paraId="234C2E20" w14:textId="2A56D223" w:rsidR="00F15794" w:rsidRPr="002C1CE8" w:rsidRDefault="00896F3D" w:rsidP="00F15794">
      <w:pPr>
        <w:rPr>
          <w:b/>
          <w:sz w:val="24"/>
          <w:szCs w:val="24"/>
        </w:rPr>
      </w:pPr>
      <w:r>
        <w:rPr>
          <w:b/>
          <w:sz w:val="24"/>
          <w:szCs w:val="24"/>
        </w:rPr>
        <w:lastRenderedPageBreak/>
        <w:t xml:space="preserve">Table 1.  </w:t>
      </w:r>
      <w:r w:rsidR="002C1CE8" w:rsidRPr="002C1CE8">
        <w:rPr>
          <w:b/>
          <w:sz w:val="24"/>
          <w:szCs w:val="24"/>
        </w:rPr>
        <w:t>Lbs of Explosive to Shatter Reinforced Concrete</w:t>
      </w:r>
      <w:r w:rsidR="00671DC9">
        <w:rPr>
          <w:rStyle w:val="FootnoteReference"/>
          <w:b/>
          <w:sz w:val="24"/>
          <w:szCs w:val="24"/>
        </w:rPr>
        <w:footnoteReference w:id="1"/>
      </w:r>
    </w:p>
    <w:tbl>
      <w:tblPr>
        <w:tblStyle w:val="TableGrid"/>
        <w:tblW w:w="0" w:type="auto"/>
        <w:tblLook w:val="04A0" w:firstRow="1" w:lastRow="0" w:firstColumn="1" w:lastColumn="0" w:noHBand="0" w:noVBand="1"/>
      </w:tblPr>
      <w:tblGrid>
        <w:gridCol w:w="2337"/>
        <w:gridCol w:w="2337"/>
        <w:gridCol w:w="2338"/>
        <w:gridCol w:w="2338"/>
      </w:tblGrid>
      <w:tr w:rsidR="00F15794" w:rsidRPr="002C1CE8" w14:paraId="2A3E2FD0" w14:textId="77777777" w:rsidTr="00F15794">
        <w:tc>
          <w:tcPr>
            <w:tcW w:w="2337" w:type="dxa"/>
          </w:tcPr>
          <w:p w14:paraId="12D5C536" w14:textId="210BA0EA" w:rsidR="00F15794" w:rsidRPr="002C1CE8" w:rsidRDefault="00F15794" w:rsidP="002C1CE8">
            <w:pPr>
              <w:jc w:val="center"/>
              <w:rPr>
                <w:b/>
                <w:sz w:val="24"/>
                <w:szCs w:val="24"/>
              </w:rPr>
            </w:pPr>
            <w:r w:rsidRPr="002C1CE8">
              <w:rPr>
                <w:b/>
                <w:sz w:val="24"/>
                <w:szCs w:val="24"/>
              </w:rPr>
              <w:t>Thickness (ft)</w:t>
            </w:r>
          </w:p>
        </w:tc>
        <w:tc>
          <w:tcPr>
            <w:tcW w:w="2337" w:type="dxa"/>
          </w:tcPr>
          <w:p w14:paraId="2DFB6AC8" w14:textId="6F844A13" w:rsidR="00F15794" w:rsidRPr="002C1CE8" w:rsidRDefault="00F15794" w:rsidP="002C1CE8">
            <w:pPr>
              <w:jc w:val="center"/>
              <w:rPr>
                <w:b/>
                <w:sz w:val="24"/>
                <w:szCs w:val="24"/>
              </w:rPr>
            </w:pPr>
            <w:r w:rsidRPr="002C1CE8">
              <w:rPr>
                <w:b/>
                <w:sz w:val="24"/>
                <w:szCs w:val="24"/>
              </w:rPr>
              <w:t>Lbs TNT</w:t>
            </w:r>
          </w:p>
        </w:tc>
        <w:tc>
          <w:tcPr>
            <w:tcW w:w="2338" w:type="dxa"/>
          </w:tcPr>
          <w:p w14:paraId="213C3D0C" w14:textId="65F751D1" w:rsidR="00F15794" w:rsidRPr="002C1CE8" w:rsidRDefault="00F15794" w:rsidP="002C1CE8">
            <w:pPr>
              <w:jc w:val="center"/>
              <w:rPr>
                <w:b/>
                <w:sz w:val="24"/>
                <w:szCs w:val="24"/>
              </w:rPr>
            </w:pPr>
            <w:r w:rsidRPr="002C1CE8">
              <w:rPr>
                <w:b/>
                <w:sz w:val="24"/>
                <w:szCs w:val="24"/>
              </w:rPr>
              <w:t>Lbs PETN</w:t>
            </w:r>
          </w:p>
        </w:tc>
        <w:tc>
          <w:tcPr>
            <w:tcW w:w="2338" w:type="dxa"/>
          </w:tcPr>
          <w:p w14:paraId="1EFEA64A" w14:textId="5C0AAFEB" w:rsidR="00F15794" w:rsidRPr="002C1CE8" w:rsidRDefault="00F15794" w:rsidP="002C1CE8">
            <w:pPr>
              <w:jc w:val="center"/>
              <w:rPr>
                <w:b/>
                <w:sz w:val="24"/>
                <w:szCs w:val="24"/>
              </w:rPr>
            </w:pPr>
            <w:r w:rsidRPr="002C1CE8">
              <w:rPr>
                <w:b/>
                <w:sz w:val="24"/>
                <w:szCs w:val="24"/>
              </w:rPr>
              <w:t>M2 Block</w:t>
            </w:r>
          </w:p>
        </w:tc>
      </w:tr>
      <w:tr w:rsidR="00F15794" w14:paraId="024BDFE6" w14:textId="77777777" w:rsidTr="00F15794">
        <w:tc>
          <w:tcPr>
            <w:tcW w:w="2337" w:type="dxa"/>
          </w:tcPr>
          <w:p w14:paraId="2EBD0A9E" w14:textId="2A76B9C1" w:rsidR="00F15794" w:rsidRDefault="002C1CE8" w:rsidP="002C1CE8">
            <w:pPr>
              <w:jc w:val="center"/>
              <w:rPr>
                <w:sz w:val="24"/>
                <w:szCs w:val="24"/>
              </w:rPr>
            </w:pPr>
            <w:r>
              <w:rPr>
                <w:sz w:val="24"/>
                <w:szCs w:val="24"/>
              </w:rPr>
              <w:t>2.5</w:t>
            </w:r>
          </w:p>
        </w:tc>
        <w:tc>
          <w:tcPr>
            <w:tcW w:w="2337" w:type="dxa"/>
          </w:tcPr>
          <w:p w14:paraId="254D10E3" w14:textId="2CCAC978" w:rsidR="00F15794" w:rsidRDefault="002C1CE8" w:rsidP="002C1CE8">
            <w:pPr>
              <w:jc w:val="center"/>
              <w:rPr>
                <w:sz w:val="24"/>
                <w:szCs w:val="24"/>
              </w:rPr>
            </w:pPr>
            <w:r>
              <w:rPr>
                <w:sz w:val="24"/>
                <w:szCs w:val="24"/>
              </w:rPr>
              <w:t>54</w:t>
            </w:r>
          </w:p>
        </w:tc>
        <w:tc>
          <w:tcPr>
            <w:tcW w:w="2338" w:type="dxa"/>
          </w:tcPr>
          <w:p w14:paraId="188DA4DE" w14:textId="4E1F9751" w:rsidR="00F15794" w:rsidRDefault="002C1CE8" w:rsidP="002C1CE8">
            <w:pPr>
              <w:jc w:val="center"/>
              <w:rPr>
                <w:sz w:val="24"/>
                <w:szCs w:val="24"/>
              </w:rPr>
            </w:pPr>
            <w:r>
              <w:rPr>
                <w:sz w:val="24"/>
                <w:szCs w:val="24"/>
              </w:rPr>
              <w:t>68.4</w:t>
            </w:r>
          </w:p>
        </w:tc>
        <w:tc>
          <w:tcPr>
            <w:tcW w:w="2338" w:type="dxa"/>
          </w:tcPr>
          <w:p w14:paraId="0CFA884E" w14:textId="7E4BB47B" w:rsidR="00F15794" w:rsidRDefault="002C1CE8" w:rsidP="002C1CE8">
            <w:pPr>
              <w:jc w:val="center"/>
              <w:rPr>
                <w:sz w:val="24"/>
                <w:szCs w:val="24"/>
              </w:rPr>
            </w:pPr>
            <w:r>
              <w:rPr>
                <w:sz w:val="24"/>
                <w:szCs w:val="24"/>
              </w:rPr>
              <w:t>65</w:t>
            </w:r>
          </w:p>
        </w:tc>
      </w:tr>
      <w:tr w:rsidR="00F15794" w14:paraId="08136BEE" w14:textId="77777777" w:rsidTr="00F15794">
        <w:tc>
          <w:tcPr>
            <w:tcW w:w="2337" w:type="dxa"/>
          </w:tcPr>
          <w:p w14:paraId="33D91993" w14:textId="27C0DC29" w:rsidR="00F15794" w:rsidRDefault="002C1CE8" w:rsidP="002C1CE8">
            <w:pPr>
              <w:jc w:val="center"/>
              <w:rPr>
                <w:sz w:val="24"/>
                <w:szCs w:val="24"/>
              </w:rPr>
            </w:pPr>
            <w:r>
              <w:rPr>
                <w:sz w:val="24"/>
                <w:szCs w:val="24"/>
              </w:rPr>
              <w:t>3</w:t>
            </w:r>
          </w:p>
        </w:tc>
        <w:tc>
          <w:tcPr>
            <w:tcW w:w="2337" w:type="dxa"/>
          </w:tcPr>
          <w:p w14:paraId="2AB6FDE3" w14:textId="7A9FB963" w:rsidR="00F15794" w:rsidRDefault="002C1CE8" w:rsidP="002C1CE8">
            <w:pPr>
              <w:jc w:val="center"/>
              <w:rPr>
                <w:sz w:val="24"/>
                <w:szCs w:val="24"/>
              </w:rPr>
            </w:pPr>
            <w:r>
              <w:rPr>
                <w:sz w:val="24"/>
                <w:szCs w:val="24"/>
              </w:rPr>
              <w:t>78</w:t>
            </w:r>
          </w:p>
        </w:tc>
        <w:tc>
          <w:tcPr>
            <w:tcW w:w="2338" w:type="dxa"/>
          </w:tcPr>
          <w:p w14:paraId="4936C402" w14:textId="2CFCEE38" w:rsidR="00F15794" w:rsidRDefault="002C1CE8" w:rsidP="002C1CE8">
            <w:pPr>
              <w:jc w:val="center"/>
              <w:rPr>
                <w:sz w:val="24"/>
                <w:szCs w:val="24"/>
              </w:rPr>
            </w:pPr>
            <w:r>
              <w:rPr>
                <w:sz w:val="24"/>
                <w:szCs w:val="24"/>
              </w:rPr>
              <w:t>47.4</w:t>
            </w:r>
          </w:p>
        </w:tc>
        <w:tc>
          <w:tcPr>
            <w:tcW w:w="2338" w:type="dxa"/>
          </w:tcPr>
          <w:p w14:paraId="550A52B2" w14:textId="3957C03B" w:rsidR="00F15794" w:rsidRDefault="002C1CE8" w:rsidP="002C1CE8">
            <w:pPr>
              <w:jc w:val="center"/>
              <w:rPr>
                <w:sz w:val="24"/>
                <w:szCs w:val="24"/>
              </w:rPr>
            </w:pPr>
            <w:r>
              <w:rPr>
                <w:sz w:val="24"/>
                <w:szCs w:val="24"/>
              </w:rPr>
              <w:t>45</w:t>
            </w:r>
          </w:p>
        </w:tc>
      </w:tr>
    </w:tbl>
    <w:p w14:paraId="73D8DC8E" w14:textId="77777777" w:rsidR="00F15794" w:rsidRPr="00F15794" w:rsidRDefault="00F15794" w:rsidP="00F15794">
      <w:pPr>
        <w:rPr>
          <w:sz w:val="24"/>
          <w:szCs w:val="24"/>
        </w:rPr>
      </w:pPr>
    </w:p>
    <w:p w14:paraId="6BC5321F" w14:textId="498D5B68" w:rsidR="000E4805" w:rsidRDefault="000E4805" w:rsidP="00960FD8">
      <w:pPr>
        <w:spacing w:after="0"/>
        <w:rPr>
          <w:rFonts w:ascii="Arial" w:hAnsi="Arial" w:cs="Arial"/>
          <w:sz w:val="24"/>
          <w:szCs w:val="24"/>
        </w:rPr>
      </w:pPr>
      <w:r>
        <w:rPr>
          <w:rFonts w:ascii="Arial" w:hAnsi="Arial" w:cs="Arial"/>
          <w:sz w:val="24"/>
          <w:szCs w:val="24"/>
        </w:rPr>
        <w:t xml:space="preserve">In addition to TNT </w:t>
      </w:r>
      <w:r w:rsidR="00A23363">
        <w:rPr>
          <w:rFonts w:ascii="Arial" w:hAnsi="Arial" w:cs="Arial"/>
          <w:sz w:val="24"/>
          <w:szCs w:val="24"/>
        </w:rPr>
        <w:t>s</w:t>
      </w:r>
      <w:r>
        <w:rPr>
          <w:rFonts w:ascii="Arial" w:hAnsi="Arial" w:cs="Arial"/>
          <w:sz w:val="24"/>
          <w:szCs w:val="24"/>
        </w:rPr>
        <w:t>haped charges</w:t>
      </w:r>
      <w:r w:rsidR="00A23363">
        <w:rPr>
          <w:rFonts w:ascii="Arial" w:hAnsi="Arial" w:cs="Arial"/>
          <w:sz w:val="24"/>
          <w:szCs w:val="24"/>
        </w:rPr>
        <w:t>,</w:t>
      </w:r>
      <w:r>
        <w:rPr>
          <w:rFonts w:ascii="Arial" w:hAnsi="Arial" w:cs="Arial"/>
          <w:sz w:val="24"/>
          <w:szCs w:val="24"/>
        </w:rPr>
        <w:t xml:space="preserve"> the above ground Holtec storage system is also vulnerable to other types of explosions. For example, a car loaded with explosives could be driven onto the storage facility </w:t>
      </w:r>
      <w:r w:rsidR="00F3439F">
        <w:rPr>
          <w:rFonts w:ascii="Arial" w:hAnsi="Arial" w:cs="Arial"/>
          <w:sz w:val="24"/>
          <w:szCs w:val="24"/>
        </w:rPr>
        <w:t xml:space="preserve">pad </w:t>
      </w:r>
      <w:r>
        <w:rPr>
          <w:rFonts w:ascii="Arial" w:hAnsi="Arial" w:cs="Arial"/>
          <w:sz w:val="24"/>
          <w:szCs w:val="24"/>
        </w:rPr>
        <w:t xml:space="preserve">and </w:t>
      </w:r>
      <w:r w:rsidR="00FF2C8C">
        <w:rPr>
          <w:rFonts w:ascii="Arial" w:hAnsi="Arial" w:cs="Arial"/>
          <w:sz w:val="24"/>
          <w:szCs w:val="24"/>
        </w:rPr>
        <w:t xml:space="preserve">be </w:t>
      </w:r>
      <w:r>
        <w:rPr>
          <w:rFonts w:ascii="Arial" w:hAnsi="Arial" w:cs="Arial"/>
          <w:sz w:val="24"/>
          <w:szCs w:val="24"/>
        </w:rPr>
        <w:t xml:space="preserve">exploded next to </w:t>
      </w:r>
      <w:r w:rsidR="00A23363">
        <w:rPr>
          <w:rFonts w:ascii="Arial" w:hAnsi="Arial" w:cs="Arial"/>
          <w:sz w:val="24"/>
          <w:szCs w:val="24"/>
        </w:rPr>
        <w:t>the HOLTEC</w:t>
      </w:r>
      <w:r>
        <w:rPr>
          <w:rFonts w:ascii="Arial" w:hAnsi="Arial" w:cs="Arial"/>
          <w:sz w:val="24"/>
          <w:szCs w:val="24"/>
        </w:rPr>
        <w:t xml:space="preserve"> cask.</w:t>
      </w:r>
      <w:r w:rsidR="00A23363">
        <w:rPr>
          <w:rFonts w:ascii="Arial" w:hAnsi="Arial" w:cs="Arial"/>
          <w:sz w:val="24"/>
          <w:szCs w:val="24"/>
        </w:rPr>
        <w:t xml:space="preserve"> I h</w:t>
      </w:r>
      <w:r>
        <w:rPr>
          <w:rFonts w:ascii="Arial" w:hAnsi="Arial" w:cs="Arial"/>
          <w:sz w:val="24"/>
          <w:szCs w:val="24"/>
        </w:rPr>
        <w:t xml:space="preserve">ave not estimated that scenario either. </w:t>
      </w:r>
      <w:r w:rsidR="00A23363">
        <w:rPr>
          <w:rFonts w:ascii="Arial" w:hAnsi="Arial" w:cs="Arial"/>
          <w:sz w:val="24"/>
          <w:szCs w:val="24"/>
        </w:rPr>
        <w:t xml:space="preserve">The shock waves would also be important in determining whether the </w:t>
      </w:r>
      <w:r w:rsidR="00FF2C8C">
        <w:rPr>
          <w:rFonts w:ascii="Arial" w:hAnsi="Arial" w:cs="Arial"/>
          <w:sz w:val="24"/>
          <w:szCs w:val="24"/>
        </w:rPr>
        <w:t xml:space="preserve">fuel rod </w:t>
      </w:r>
      <w:r w:rsidR="00A23363">
        <w:rPr>
          <w:rFonts w:ascii="Arial" w:hAnsi="Arial" w:cs="Arial"/>
          <w:sz w:val="24"/>
          <w:szCs w:val="24"/>
        </w:rPr>
        <w:t>cladding would remain intact.  This would be particularly important for</w:t>
      </w:r>
      <w:r>
        <w:rPr>
          <w:rFonts w:ascii="Arial" w:hAnsi="Arial" w:cs="Arial"/>
          <w:sz w:val="24"/>
          <w:szCs w:val="24"/>
        </w:rPr>
        <w:t xml:space="preserve"> high </w:t>
      </w:r>
      <w:r w:rsidR="00FF2C8C">
        <w:rPr>
          <w:rFonts w:ascii="Arial" w:hAnsi="Arial" w:cs="Arial"/>
          <w:sz w:val="24"/>
          <w:szCs w:val="24"/>
        </w:rPr>
        <w:t>b</w:t>
      </w:r>
      <w:r>
        <w:rPr>
          <w:rFonts w:ascii="Arial" w:hAnsi="Arial" w:cs="Arial"/>
          <w:sz w:val="24"/>
          <w:szCs w:val="24"/>
        </w:rPr>
        <w:t>urnup fuel wh</w:t>
      </w:r>
      <w:r w:rsidR="00A23363">
        <w:rPr>
          <w:rFonts w:ascii="Arial" w:hAnsi="Arial" w:cs="Arial"/>
          <w:sz w:val="24"/>
          <w:szCs w:val="24"/>
        </w:rPr>
        <w:t>ere</w:t>
      </w:r>
      <w:r>
        <w:rPr>
          <w:rFonts w:ascii="Arial" w:hAnsi="Arial" w:cs="Arial"/>
          <w:sz w:val="24"/>
          <w:szCs w:val="24"/>
        </w:rPr>
        <w:t xml:space="preserve"> fuel rods within eac</w:t>
      </w:r>
      <w:r w:rsidR="00A23363">
        <w:rPr>
          <w:rFonts w:ascii="Arial" w:hAnsi="Arial" w:cs="Arial"/>
          <w:sz w:val="24"/>
          <w:szCs w:val="24"/>
        </w:rPr>
        <w:t>h assembly</w:t>
      </w:r>
      <w:r>
        <w:rPr>
          <w:rFonts w:ascii="Arial" w:hAnsi="Arial" w:cs="Arial"/>
          <w:sz w:val="24"/>
          <w:szCs w:val="24"/>
        </w:rPr>
        <w:t xml:space="preserve"> have thinner walls and are more brittle. </w:t>
      </w:r>
      <w:r w:rsidR="001839D7" w:rsidRPr="00852AF6">
        <w:rPr>
          <w:rFonts w:ascii="Arial" w:eastAsia="Times New Roman" w:hAnsi="Arial" w:cs="Arial"/>
          <w:color w:val="000000"/>
          <w:sz w:val="24"/>
          <w:szCs w:val="24"/>
        </w:rPr>
        <w:t>None of th</w:t>
      </w:r>
      <w:r w:rsidR="00A23363">
        <w:rPr>
          <w:rFonts w:ascii="Arial" w:eastAsia="Times New Roman" w:hAnsi="Arial" w:cs="Arial"/>
          <w:color w:val="000000"/>
          <w:sz w:val="24"/>
          <w:szCs w:val="24"/>
        </w:rPr>
        <w:t xml:space="preserve">ese </w:t>
      </w:r>
      <w:r w:rsidR="001839D7" w:rsidRPr="00852AF6">
        <w:rPr>
          <w:rFonts w:ascii="Arial" w:eastAsia="Times New Roman" w:hAnsi="Arial" w:cs="Arial"/>
          <w:color w:val="000000"/>
          <w:sz w:val="24"/>
          <w:szCs w:val="24"/>
        </w:rPr>
        <w:t>is</w:t>
      </w:r>
      <w:r w:rsidR="00A23363">
        <w:rPr>
          <w:rFonts w:ascii="Arial" w:eastAsia="Times New Roman" w:hAnsi="Arial" w:cs="Arial"/>
          <w:color w:val="000000"/>
          <w:sz w:val="24"/>
          <w:szCs w:val="24"/>
        </w:rPr>
        <w:t>sues are discussed in the FS</w:t>
      </w:r>
      <w:r w:rsidR="001839D7" w:rsidRPr="00852AF6">
        <w:rPr>
          <w:rFonts w:ascii="Arial" w:eastAsia="Times New Roman" w:hAnsi="Arial" w:cs="Arial"/>
          <w:color w:val="000000"/>
          <w:sz w:val="24"/>
          <w:szCs w:val="24"/>
        </w:rPr>
        <w:t>EIS.</w:t>
      </w:r>
    </w:p>
    <w:p w14:paraId="0DC73C62" w14:textId="77777777" w:rsidR="000E4805" w:rsidRDefault="000E4805" w:rsidP="008B4B8D">
      <w:pPr>
        <w:spacing w:after="0"/>
        <w:rPr>
          <w:rFonts w:ascii="Arial" w:hAnsi="Arial" w:cs="Arial"/>
          <w:sz w:val="24"/>
          <w:szCs w:val="24"/>
        </w:rPr>
      </w:pPr>
    </w:p>
    <w:p w14:paraId="72291453" w14:textId="53E8E744" w:rsidR="004575CB" w:rsidRDefault="000E4805" w:rsidP="008B4B8D">
      <w:pPr>
        <w:spacing w:after="0"/>
        <w:rPr>
          <w:rFonts w:ascii="Arial" w:hAnsi="Arial" w:cs="Arial"/>
          <w:sz w:val="24"/>
          <w:szCs w:val="24"/>
        </w:rPr>
      </w:pPr>
      <w:r>
        <w:rPr>
          <w:rFonts w:ascii="Arial" w:hAnsi="Arial" w:cs="Arial"/>
          <w:sz w:val="24"/>
          <w:szCs w:val="24"/>
        </w:rPr>
        <w:t xml:space="preserve">The </w:t>
      </w:r>
      <w:r w:rsidR="00A23363">
        <w:rPr>
          <w:rFonts w:ascii="Arial" w:hAnsi="Arial" w:cs="Arial"/>
          <w:sz w:val="24"/>
          <w:szCs w:val="24"/>
        </w:rPr>
        <w:t>Holtec</w:t>
      </w:r>
      <w:r>
        <w:rPr>
          <w:rFonts w:ascii="Arial" w:hAnsi="Arial" w:cs="Arial"/>
          <w:sz w:val="24"/>
          <w:szCs w:val="24"/>
        </w:rPr>
        <w:t xml:space="preserve"> system consists of vertical cylinders</w:t>
      </w:r>
      <w:r w:rsidR="00A23363">
        <w:rPr>
          <w:rFonts w:ascii="Arial" w:hAnsi="Arial" w:cs="Arial"/>
          <w:sz w:val="24"/>
          <w:szCs w:val="24"/>
        </w:rPr>
        <w:t>, generally placed above-ground,</w:t>
      </w:r>
      <w:r>
        <w:rPr>
          <w:rFonts w:ascii="Arial" w:hAnsi="Arial" w:cs="Arial"/>
          <w:sz w:val="24"/>
          <w:szCs w:val="24"/>
        </w:rPr>
        <w:t xml:space="preserve"> but they can also be located below gro</w:t>
      </w:r>
      <w:r w:rsidR="00A23363">
        <w:rPr>
          <w:rFonts w:ascii="Arial" w:hAnsi="Arial" w:cs="Arial"/>
          <w:sz w:val="24"/>
          <w:szCs w:val="24"/>
        </w:rPr>
        <w:t>und. My concern here is that a</w:t>
      </w:r>
      <w:r>
        <w:rPr>
          <w:rFonts w:ascii="Arial" w:hAnsi="Arial" w:cs="Arial"/>
          <w:sz w:val="24"/>
          <w:szCs w:val="24"/>
        </w:rPr>
        <w:t xml:space="preserve"> fuel truck holding 8000 gallons of gasoline could be unloaded into this underground storage facility</w:t>
      </w:r>
      <w:r w:rsidR="00FF2C8C">
        <w:rPr>
          <w:rFonts w:ascii="Arial" w:hAnsi="Arial" w:cs="Arial"/>
          <w:sz w:val="24"/>
          <w:szCs w:val="24"/>
        </w:rPr>
        <w:t xml:space="preserve"> and set on fire</w:t>
      </w:r>
      <w:r w:rsidR="00A23363">
        <w:rPr>
          <w:rFonts w:ascii="Arial" w:hAnsi="Arial" w:cs="Arial"/>
          <w:sz w:val="24"/>
          <w:szCs w:val="24"/>
        </w:rPr>
        <w:t>.</w:t>
      </w:r>
      <w:r>
        <w:rPr>
          <w:rFonts w:ascii="Arial" w:hAnsi="Arial" w:cs="Arial"/>
          <w:sz w:val="24"/>
          <w:szCs w:val="24"/>
        </w:rPr>
        <w:t xml:space="preserve"> I have not done the calculations that estimate the impact of such a scenario.</w:t>
      </w:r>
      <w:r w:rsidR="009A41C1">
        <w:rPr>
          <w:rFonts w:ascii="Arial" w:hAnsi="Arial" w:cs="Arial"/>
          <w:sz w:val="24"/>
          <w:szCs w:val="24"/>
        </w:rPr>
        <w:t xml:space="preserve"> These </w:t>
      </w:r>
      <w:r w:rsidR="00960FD8">
        <w:rPr>
          <w:rFonts w:ascii="Arial" w:hAnsi="Arial" w:cs="Arial"/>
          <w:sz w:val="24"/>
          <w:szCs w:val="24"/>
        </w:rPr>
        <w:t xml:space="preserve">at-reactor sabotage </w:t>
      </w:r>
      <w:r w:rsidR="009A41C1">
        <w:rPr>
          <w:rFonts w:ascii="Arial" w:hAnsi="Arial" w:cs="Arial"/>
          <w:sz w:val="24"/>
          <w:szCs w:val="24"/>
        </w:rPr>
        <w:t xml:space="preserve">scenarios need to be compared </w:t>
      </w:r>
      <w:r w:rsidR="00FF2C8C">
        <w:rPr>
          <w:rFonts w:ascii="Arial" w:hAnsi="Arial" w:cs="Arial"/>
          <w:sz w:val="24"/>
          <w:szCs w:val="24"/>
        </w:rPr>
        <w:t xml:space="preserve">in the FSEIS </w:t>
      </w:r>
      <w:r w:rsidR="009A41C1">
        <w:rPr>
          <w:rFonts w:ascii="Arial" w:hAnsi="Arial" w:cs="Arial"/>
          <w:sz w:val="24"/>
          <w:szCs w:val="24"/>
        </w:rPr>
        <w:t xml:space="preserve">to the transportation </w:t>
      </w:r>
      <w:r w:rsidR="00960FD8">
        <w:rPr>
          <w:rFonts w:ascii="Arial" w:hAnsi="Arial" w:cs="Arial"/>
          <w:sz w:val="24"/>
          <w:szCs w:val="24"/>
        </w:rPr>
        <w:t xml:space="preserve">sabotage </w:t>
      </w:r>
      <w:r w:rsidR="009A41C1">
        <w:rPr>
          <w:rFonts w:ascii="Arial" w:hAnsi="Arial" w:cs="Arial"/>
          <w:sz w:val="24"/>
          <w:szCs w:val="24"/>
        </w:rPr>
        <w:t>scenarios.</w:t>
      </w:r>
    </w:p>
    <w:p w14:paraId="4C72DF1A" w14:textId="77777777" w:rsidR="00852AF6" w:rsidRDefault="00852AF6" w:rsidP="008B4B8D">
      <w:pPr>
        <w:spacing w:after="0"/>
        <w:rPr>
          <w:rFonts w:ascii="Arial" w:hAnsi="Arial" w:cs="Arial"/>
          <w:sz w:val="24"/>
          <w:szCs w:val="24"/>
        </w:rPr>
      </w:pPr>
    </w:p>
    <w:p w14:paraId="124D06B3" w14:textId="7F478A3A" w:rsidR="00852AF6" w:rsidRDefault="00311ADF" w:rsidP="008B4B8D">
      <w:pPr>
        <w:spacing w:after="0"/>
        <w:rPr>
          <w:rFonts w:ascii="Arial" w:hAnsi="Arial" w:cs="Arial"/>
          <w:sz w:val="24"/>
          <w:szCs w:val="24"/>
        </w:rPr>
      </w:pPr>
      <w:r>
        <w:rPr>
          <w:rFonts w:ascii="Arial" w:hAnsi="Arial" w:cs="Arial"/>
          <w:sz w:val="24"/>
          <w:szCs w:val="24"/>
        </w:rPr>
        <w:t xml:space="preserve">We have not considered the effect here of an anti-tank missile.  </w:t>
      </w:r>
      <w:r w:rsidR="00852AF6">
        <w:rPr>
          <w:rFonts w:ascii="Arial" w:hAnsi="Arial" w:cs="Arial"/>
          <w:sz w:val="24"/>
          <w:szCs w:val="24"/>
        </w:rPr>
        <w:t>Clearly it would be easier to protect a fixed facility th</w:t>
      </w:r>
      <w:r w:rsidR="00960FD8">
        <w:rPr>
          <w:rFonts w:ascii="Arial" w:hAnsi="Arial" w:cs="Arial"/>
          <w:sz w:val="24"/>
          <w:szCs w:val="24"/>
        </w:rPr>
        <w:t>a</w:t>
      </w:r>
      <w:r w:rsidR="00852AF6">
        <w:rPr>
          <w:rFonts w:ascii="Arial" w:hAnsi="Arial" w:cs="Arial"/>
          <w:sz w:val="24"/>
          <w:szCs w:val="24"/>
        </w:rPr>
        <w:t>n a moving cask</w:t>
      </w:r>
      <w:r>
        <w:rPr>
          <w:rFonts w:ascii="Arial" w:hAnsi="Arial" w:cs="Arial"/>
          <w:sz w:val="24"/>
          <w:szCs w:val="24"/>
        </w:rPr>
        <w:t xml:space="preserve"> since an anti-tank missile could be fired from any location along the route</w:t>
      </w:r>
      <w:r w:rsidR="00852AF6">
        <w:rPr>
          <w:rFonts w:ascii="Arial" w:hAnsi="Arial" w:cs="Arial"/>
          <w:sz w:val="24"/>
          <w:szCs w:val="24"/>
        </w:rPr>
        <w:t xml:space="preserve">.  </w:t>
      </w:r>
      <w:r w:rsidR="00DF7D7E">
        <w:rPr>
          <w:rFonts w:ascii="Arial" w:hAnsi="Arial" w:cs="Arial"/>
          <w:sz w:val="24"/>
          <w:szCs w:val="24"/>
        </w:rPr>
        <w:t>The FSEIS should make this comparison</w:t>
      </w:r>
      <w:r>
        <w:rPr>
          <w:rFonts w:ascii="Arial" w:hAnsi="Arial" w:cs="Arial"/>
          <w:sz w:val="24"/>
          <w:szCs w:val="24"/>
        </w:rPr>
        <w:t xml:space="preserve"> between at-reactor and moving targets</w:t>
      </w:r>
      <w:r w:rsidR="00DF7D7E">
        <w:rPr>
          <w:rFonts w:ascii="Arial" w:hAnsi="Arial" w:cs="Arial"/>
          <w:sz w:val="24"/>
          <w:szCs w:val="24"/>
        </w:rPr>
        <w:t xml:space="preserve">.  </w:t>
      </w:r>
      <w:r w:rsidR="00FF2C8C">
        <w:rPr>
          <w:rFonts w:ascii="Arial" w:hAnsi="Arial" w:cs="Arial"/>
          <w:sz w:val="24"/>
          <w:szCs w:val="24"/>
        </w:rPr>
        <w:t>All storage facil</w:t>
      </w:r>
      <w:r w:rsidR="00DF7D7E">
        <w:rPr>
          <w:rFonts w:ascii="Arial" w:hAnsi="Arial" w:cs="Arial"/>
          <w:sz w:val="24"/>
          <w:szCs w:val="24"/>
        </w:rPr>
        <w:t>i</w:t>
      </w:r>
      <w:r w:rsidR="00FF2C8C">
        <w:rPr>
          <w:rFonts w:ascii="Arial" w:hAnsi="Arial" w:cs="Arial"/>
          <w:sz w:val="24"/>
          <w:szCs w:val="24"/>
        </w:rPr>
        <w:t>ties</w:t>
      </w:r>
      <w:r w:rsidR="00DF7D7E">
        <w:rPr>
          <w:rFonts w:ascii="Arial" w:hAnsi="Arial" w:cs="Arial"/>
          <w:sz w:val="24"/>
          <w:szCs w:val="24"/>
        </w:rPr>
        <w:t xml:space="preserve"> </w:t>
      </w:r>
      <w:r w:rsidR="00BE77BD">
        <w:rPr>
          <w:rFonts w:ascii="Arial" w:hAnsi="Arial" w:cs="Arial"/>
          <w:sz w:val="24"/>
          <w:szCs w:val="24"/>
        </w:rPr>
        <w:t xml:space="preserve">and train carriers </w:t>
      </w:r>
      <w:r w:rsidR="00DF7D7E">
        <w:rPr>
          <w:rFonts w:ascii="Arial" w:hAnsi="Arial" w:cs="Arial"/>
          <w:sz w:val="24"/>
          <w:szCs w:val="24"/>
        </w:rPr>
        <w:t xml:space="preserve">could be ringed with a screen or building so that explosives would be </w:t>
      </w:r>
      <w:r w:rsidR="00BE77BD">
        <w:rPr>
          <w:rFonts w:ascii="Arial" w:hAnsi="Arial" w:cs="Arial"/>
          <w:sz w:val="24"/>
          <w:szCs w:val="24"/>
        </w:rPr>
        <w:t>detonated</w:t>
      </w:r>
      <w:r w:rsidR="00DF7D7E">
        <w:rPr>
          <w:rFonts w:ascii="Arial" w:hAnsi="Arial" w:cs="Arial"/>
          <w:sz w:val="24"/>
          <w:szCs w:val="24"/>
        </w:rPr>
        <w:t xml:space="preserve"> at some distance from the storage systems</w:t>
      </w:r>
      <w:r w:rsidR="00BE77BD">
        <w:rPr>
          <w:rFonts w:ascii="Arial" w:hAnsi="Arial" w:cs="Arial"/>
          <w:sz w:val="24"/>
          <w:szCs w:val="24"/>
        </w:rPr>
        <w:t>, but there are no r</w:t>
      </w:r>
      <w:r w:rsidR="007251BD">
        <w:rPr>
          <w:rFonts w:ascii="Arial" w:hAnsi="Arial" w:cs="Arial"/>
          <w:sz w:val="24"/>
          <w:szCs w:val="24"/>
        </w:rPr>
        <w:t>egulatory requirements to do so.</w:t>
      </w:r>
    </w:p>
    <w:p w14:paraId="6DC2130A" w14:textId="77777777" w:rsidR="00852AF6" w:rsidRDefault="00852AF6" w:rsidP="008B4B8D">
      <w:pPr>
        <w:spacing w:after="0"/>
        <w:rPr>
          <w:rFonts w:ascii="Arial" w:hAnsi="Arial" w:cs="Arial"/>
          <w:sz w:val="24"/>
          <w:szCs w:val="24"/>
        </w:rPr>
      </w:pPr>
    </w:p>
    <w:p w14:paraId="5FAF2FC2" w14:textId="77777777" w:rsidR="007251BD" w:rsidRDefault="007251BD" w:rsidP="008B4B8D">
      <w:pPr>
        <w:spacing w:after="0"/>
        <w:rPr>
          <w:rFonts w:ascii="Arial" w:hAnsi="Arial" w:cs="Arial"/>
          <w:b/>
          <w:sz w:val="24"/>
          <w:szCs w:val="24"/>
        </w:rPr>
      </w:pPr>
      <w:r>
        <w:rPr>
          <w:rFonts w:ascii="Arial" w:hAnsi="Arial" w:cs="Arial"/>
          <w:b/>
          <w:sz w:val="24"/>
          <w:szCs w:val="24"/>
        </w:rPr>
        <w:t>Release of Radionuclides in Sabotage Event</w:t>
      </w:r>
    </w:p>
    <w:p w14:paraId="540410FB" w14:textId="2F8940BC" w:rsidR="00852AF6" w:rsidRDefault="00852AF6" w:rsidP="008B4B8D">
      <w:pPr>
        <w:spacing w:after="0"/>
        <w:rPr>
          <w:rFonts w:ascii="Arial" w:hAnsi="Arial" w:cs="Arial"/>
          <w:b/>
          <w:sz w:val="24"/>
          <w:szCs w:val="24"/>
        </w:rPr>
      </w:pPr>
      <w:r w:rsidRPr="00852AF6">
        <w:rPr>
          <w:rFonts w:ascii="Arial" w:hAnsi="Arial" w:cs="Arial"/>
          <w:b/>
          <w:sz w:val="24"/>
          <w:szCs w:val="24"/>
        </w:rPr>
        <w:t xml:space="preserve">Update to previous calculations by </w:t>
      </w:r>
      <w:r w:rsidR="00960FD8">
        <w:rPr>
          <w:rFonts w:ascii="Arial" w:hAnsi="Arial" w:cs="Arial"/>
          <w:b/>
          <w:sz w:val="24"/>
          <w:szCs w:val="24"/>
        </w:rPr>
        <w:t>R</w:t>
      </w:r>
      <w:r w:rsidRPr="00852AF6">
        <w:rPr>
          <w:rFonts w:ascii="Arial" w:hAnsi="Arial" w:cs="Arial"/>
          <w:b/>
          <w:sz w:val="24"/>
          <w:szCs w:val="24"/>
        </w:rPr>
        <w:t>WMA</w:t>
      </w:r>
    </w:p>
    <w:p w14:paraId="3AA037CB" w14:textId="77777777" w:rsidR="007251BD" w:rsidRDefault="007251BD" w:rsidP="008B4B8D">
      <w:pPr>
        <w:spacing w:after="0"/>
        <w:rPr>
          <w:rFonts w:ascii="Arial" w:hAnsi="Arial" w:cs="Arial"/>
          <w:b/>
          <w:sz w:val="24"/>
          <w:szCs w:val="24"/>
        </w:rPr>
      </w:pPr>
    </w:p>
    <w:p w14:paraId="580E8A78" w14:textId="26636F67" w:rsidR="00852AF6" w:rsidRDefault="002670D7" w:rsidP="008B4B8D">
      <w:pPr>
        <w:spacing w:after="0"/>
        <w:rPr>
          <w:rFonts w:ascii="Arial" w:hAnsi="Arial" w:cs="Arial"/>
          <w:sz w:val="24"/>
          <w:szCs w:val="24"/>
        </w:rPr>
      </w:pPr>
      <w:r w:rsidRPr="002670D7">
        <w:rPr>
          <w:rFonts w:ascii="Arial" w:hAnsi="Arial" w:cs="Arial"/>
          <w:sz w:val="24"/>
          <w:szCs w:val="24"/>
        </w:rPr>
        <w:t>We previously analyzed</w:t>
      </w:r>
      <w:r>
        <w:rPr>
          <w:rFonts w:ascii="Arial" w:hAnsi="Arial" w:cs="Arial"/>
          <w:sz w:val="24"/>
          <w:szCs w:val="24"/>
        </w:rPr>
        <w:t xml:space="preserve"> the FSEIS regard</w:t>
      </w:r>
      <w:r w:rsidR="003D7F0B">
        <w:rPr>
          <w:rFonts w:ascii="Arial" w:hAnsi="Arial" w:cs="Arial"/>
          <w:sz w:val="24"/>
          <w:szCs w:val="24"/>
        </w:rPr>
        <w:t>ing</w:t>
      </w:r>
      <w:r>
        <w:rPr>
          <w:rFonts w:ascii="Arial" w:hAnsi="Arial" w:cs="Arial"/>
          <w:sz w:val="24"/>
          <w:szCs w:val="24"/>
        </w:rPr>
        <w:t xml:space="preserve"> its calculations </w:t>
      </w:r>
      <w:r w:rsidR="003D7F0B">
        <w:rPr>
          <w:rFonts w:ascii="Arial" w:hAnsi="Arial" w:cs="Arial"/>
          <w:sz w:val="24"/>
          <w:szCs w:val="24"/>
        </w:rPr>
        <w:t xml:space="preserve">of a </w:t>
      </w:r>
      <w:r>
        <w:rPr>
          <w:rFonts w:ascii="Arial" w:hAnsi="Arial" w:cs="Arial"/>
          <w:sz w:val="24"/>
          <w:szCs w:val="24"/>
        </w:rPr>
        <w:t>successful sabotage attack</w:t>
      </w:r>
      <w:r>
        <w:rPr>
          <w:rStyle w:val="FootnoteReference"/>
          <w:rFonts w:ascii="Arial" w:hAnsi="Arial" w:cs="Arial"/>
          <w:sz w:val="24"/>
          <w:szCs w:val="24"/>
        </w:rPr>
        <w:footnoteReference w:id="2"/>
      </w:r>
      <w:r>
        <w:rPr>
          <w:rFonts w:ascii="Arial" w:hAnsi="Arial" w:cs="Arial"/>
          <w:sz w:val="24"/>
          <w:szCs w:val="24"/>
        </w:rPr>
        <w:t>. The FSEIS calculations are based on a report by Luna</w:t>
      </w:r>
      <w:r>
        <w:rPr>
          <w:rStyle w:val="FootnoteReference"/>
          <w:rFonts w:ascii="Arial" w:hAnsi="Arial" w:cs="Arial"/>
          <w:sz w:val="24"/>
          <w:szCs w:val="24"/>
        </w:rPr>
        <w:footnoteReference w:id="3"/>
      </w:r>
      <w:r>
        <w:rPr>
          <w:rFonts w:ascii="Arial" w:hAnsi="Arial" w:cs="Arial"/>
          <w:sz w:val="24"/>
          <w:szCs w:val="24"/>
        </w:rPr>
        <w:t xml:space="preserve">.  </w:t>
      </w:r>
      <w:r w:rsidR="00D105CE">
        <w:rPr>
          <w:rFonts w:ascii="Arial" w:hAnsi="Arial" w:cs="Arial"/>
          <w:sz w:val="24"/>
          <w:szCs w:val="24"/>
        </w:rPr>
        <w:t xml:space="preserve">In a later report we investigated more closely </w:t>
      </w:r>
      <w:r w:rsidR="003D7F0B">
        <w:rPr>
          <w:rFonts w:ascii="Arial" w:hAnsi="Arial" w:cs="Arial"/>
          <w:sz w:val="24"/>
          <w:szCs w:val="24"/>
        </w:rPr>
        <w:t>h</w:t>
      </w:r>
      <w:r w:rsidR="00D105CE">
        <w:rPr>
          <w:rFonts w:ascii="Arial" w:hAnsi="Arial" w:cs="Arial"/>
          <w:sz w:val="24"/>
          <w:szCs w:val="24"/>
        </w:rPr>
        <w:t>is assumptions concerning blowdown effects</w:t>
      </w:r>
      <w:r w:rsidR="003D7F0B">
        <w:rPr>
          <w:rFonts w:ascii="Arial" w:hAnsi="Arial" w:cs="Arial"/>
          <w:sz w:val="24"/>
          <w:szCs w:val="24"/>
        </w:rPr>
        <w:t>,</w:t>
      </w:r>
      <w:r w:rsidR="00D105CE">
        <w:rPr>
          <w:rFonts w:ascii="Arial" w:hAnsi="Arial" w:cs="Arial"/>
          <w:sz w:val="24"/>
          <w:szCs w:val="24"/>
        </w:rPr>
        <w:t xml:space="preserve"> that is to say </w:t>
      </w:r>
      <w:r w:rsidR="00D105CE">
        <w:rPr>
          <w:rFonts w:ascii="Arial" w:hAnsi="Arial" w:cs="Arial"/>
          <w:sz w:val="24"/>
          <w:szCs w:val="24"/>
        </w:rPr>
        <w:lastRenderedPageBreak/>
        <w:t>the equalization of pressure inside and outside the cask after a sabotage event</w:t>
      </w:r>
      <w:r w:rsidR="00D105CE">
        <w:rPr>
          <w:rStyle w:val="FootnoteReference"/>
          <w:rFonts w:ascii="Arial" w:hAnsi="Arial" w:cs="Arial"/>
          <w:sz w:val="24"/>
          <w:szCs w:val="24"/>
        </w:rPr>
        <w:footnoteReference w:id="4"/>
      </w:r>
      <w:r w:rsidR="00D105CE">
        <w:rPr>
          <w:rFonts w:ascii="Arial" w:hAnsi="Arial" w:cs="Arial"/>
          <w:sz w:val="24"/>
          <w:szCs w:val="24"/>
        </w:rPr>
        <w:t xml:space="preserve">. In Luna’s calculations the potential release of cesium is higher from a truck cask than a rail cask even though the inventory in a rail cask is six times greater. We want to repeat the assumptions made by Luna which allowed him to come to this conclusion and then discuss why they are incorrect. After that we will discuss the calculations involving a sabotage event that has </w:t>
      </w:r>
      <w:r w:rsidR="003D7F0B">
        <w:rPr>
          <w:rFonts w:ascii="Arial" w:hAnsi="Arial" w:cs="Arial"/>
          <w:sz w:val="24"/>
          <w:szCs w:val="24"/>
        </w:rPr>
        <w:t>an entry and</w:t>
      </w:r>
      <w:r w:rsidR="00D105CE">
        <w:rPr>
          <w:rFonts w:ascii="Arial" w:hAnsi="Arial" w:cs="Arial"/>
          <w:sz w:val="24"/>
          <w:szCs w:val="24"/>
        </w:rPr>
        <w:t xml:space="preserve"> exit hole</w:t>
      </w:r>
      <w:r w:rsidR="003D7F0B">
        <w:rPr>
          <w:rFonts w:ascii="Arial" w:hAnsi="Arial" w:cs="Arial"/>
          <w:sz w:val="24"/>
          <w:szCs w:val="24"/>
        </w:rPr>
        <w:t>s</w:t>
      </w:r>
      <w:r w:rsidR="00D105CE">
        <w:rPr>
          <w:rFonts w:ascii="Arial" w:hAnsi="Arial" w:cs="Arial"/>
          <w:sz w:val="24"/>
          <w:szCs w:val="24"/>
        </w:rPr>
        <w:t xml:space="preserve">, not just an entrance </w:t>
      </w:r>
      <w:r w:rsidR="003D7F0B">
        <w:rPr>
          <w:rFonts w:ascii="Arial" w:hAnsi="Arial" w:cs="Arial"/>
          <w:sz w:val="24"/>
          <w:szCs w:val="24"/>
        </w:rPr>
        <w:t>ho</w:t>
      </w:r>
      <w:r w:rsidR="00D105CE">
        <w:rPr>
          <w:rFonts w:ascii="Arial" w:hAnsi="Arial" w:cs="Arial"/>
          <w:sz w:val="24"/>
          <w:szCs w:val="24"/>
        </w:rPr>
        <w:t>l</w:t>
      </w:r>
      <w:r w:rsidR="003D7F0B">
        <w:rPr>
          <w:rFonts w:ascii="Arial" w:hAnsi="Arial" w:cs="Arial"/>
          <w:sz w:val="24"/>
          <w:szCs w:val="24"/>
        </w:rPr>
        <w:t>e</w:t>
      </w:r>
      <w:r w:rsidR="00D105CE">
        <w:rPr>
          <w:rFonts w:ascii="Arial" w:hAnsi="Arial" w:cs="Arial"/>
          <w:sz w:val="24"/>
          <w:szCs w:val="24"/>
        </w:rPr>
        <w:t xml:space="preserve"> to a cask and update our previous results for higher Burnup fuel.</w:t>
      </w:r>
    </w:p>
    <w:p w14:paraId="3338C1C6" w14:textId="77777777" w:rsidR="00D105CE" w:rsidRDefault="00D105CE" w:rsidP="008B4B8D">
      <w:pPr>
        <w:spacing w:after="0"/>
        <w:rPr>
          <w:rFonts w:ascii="Arial" w:hAnsi="Arial" w:cs="Arial"/>
          <w:sz w:val="24"/>
          <w:szCs w:val="24"/>
        </w:rPr>
      </w:pPr>
    </w:p>
    <w:p w14:paraId="010F42EF" w14:textId="0CB18D0C" w:rsidR="00D105CE" w:rsidRDefault="00D105CE" w:rsidP="008B4B8D">
      <w:pPr>
        <w:spacing w:after="0"/>
        <w:rPr>
          <w:rFonts w:ascii="Arial" w:hAnsi="Arial" w:cs="Arial"/>
          <w:sz w:val="24"/>
          <w:szCs w:val="24"/>
        </w:rPr>
      </w:pPr>
      <w:r>
        <w:rPr>
          <w:rFonts w:ascii="Arial" w:hAnsi="Arial" w:cs="Arial"/>
          <w:sz w:val="24"/>
          <w:szCs w:val="24"/>
        </w:rPr>
        <w:t>Luna correctly assumes that the fuel rods are pressurized. In a potential sabotage event, the assembly rod</w:t>
      </w:r>
      <w:r w:rsidR="003D7F0B">
        <w:rPr>
          <w:rFonts w:ascii="Arial" w:hAnsi="Arial" w:cs="Arial"/>
          <w:sz w:val="24"/>
          <w:szCs w:val="24"/>
        </w:rPr>
        <w:t>s</w:t>
      </w:r>
      <w:r>
        <w:rPr>
          <w:rFonts w:ascii="Arial" w:hAnsi="Arial" w:cs="Arial"/>
          <w:sz w:val="24"/>
          <w:szCs w:val="24"/>
        </w:rPr>
        <w:t xml:space="preserve"> are perforated and the pressure within the cask increases. Since the rail cask has much greater free volume than the truck cask</w:t>
      </w:r>
      <w:r w:rsidR="004C54BF">
        <w:rPr>
          <w:rFonts w:ascii="Arial" w:hAnsi="Arial" w:cs="Arial"/>
          <w:sz w:val="24"/>
          <w:szCs w:val="24"/>
        </w:rPr>
        <w:t>,</w:t>
      </w:r>
      <w:r>
        <w:rPr>
          <w:rFonts w:ascii="Arial" w:hAnsi="Arial" w:cs="Arial"/>
          <w:sz w:val="24"/>
          <w:szCs w:val="24"/>
        </w:rPr>
        <w:t xml:space="preserve"> the pressure within the truck cask is higher after </w:t>
      </w:r>
      <w:r w:rsidR="004C54BF">
        <w:rPr>
          <w:rFonts w:ascii="Arial" w:hAnsi="Arial" w:cs="Arial"/>
          <w:sz w:val="24"/>
          <w:szCs w:val="24"/>
        </w:rPr>
        <w:t xml:space="preserve">a </w:t>
      </w:r>
      <w:r>
        <w:rPr>
          <w:rFonts w:ascii="Arial" w:hAnsi="Arial" w:cs="Arial"/>
          <w:sz w:val="24"/>
          <w:szCs w:val="24"/>
        </w:rPr>
        <w:t xml:space="preserve">sabotage event then in a rail cask and that accounts for </w:t>
      </w:r>
      <w:r w:rsidR="004C54BF">
        <w:rPr>
          <w:rFonts w:ascii="Arial" w:hAnsi="Arial" w:cs="Arial"/>
          <w:sz w:val="24"/>
          <w:szCs w:val="24"/>
        </w:rPr>
        <w:t>h</w:t>
      </w:r>
      <w:r>
        <w:rPr>
          <w:rFonts w:ascii="Arial" w:hAnsi="Arial" w:cs="Arial"/>
          <w:sz w:val="24"/>
          <w:szCs w:val="24"/>
        </w:rPr>
        <w:t xml:space="preserve">is calculation that </w:t>
      </w:r>
      <w:r w:rsidR="004C54BF">
        <w:rPr>
          <w:rFonts w:ascii="Arial" w:hAnsi="Arial" w:cs="Arial"/>
          <w:sz w:val="24"/>
          <w:szCs w:val="24"/>
        </w:rPr>
        <w:t xml:space="preserve">less </w:t>
      </w:r>
      <w:r>
        <w:rPr>
          <w:rFonts w:ascii="Arial" w:hAnsi="Arial" w:cs="Arial"/>
          <w:sz w:val="24"/>
          <w:szCs w:val="24"/>
        </w:rPr>
        <w:t>radioactive material was released in a rail cask.</w:t>
      </w:r>
    </w:p>
    <w:p w14:paraId="402F863F" w14:textId="77777777" w:rsidR="00D105CE" w:rsidRDefault="00D105CE" w:rsidP="008B4B8D">
      <w:pPr>
        <w:spacing w:after="0"/>
        <w:rPr>
          <w:rFonts w:ascii="Arial" w:hAnsi="Arial" w:cs="Arial"/>
          <w:sz w:val="24"/>
          <w:szCs w:val="24"/>
        </w:rPr>
      </w:pPr>
    </w:p>
    <w:p w14:paraId="1BB0A8B3" w14:textId="581FB92B" w:rsidR="00D105CE" w:rsidRDefault="00D105CE" w:rsidP="008B4B8D">
      <w:pPr>
        <w:spacing w:after="0"/>
        <w:rPr>
          <w:rFonts w:ascii="Arial" w:hAnsi="Arial" w:cs="Arial"/>
          <w:sz w:val="24"/>
          <w:szCs w:val="24"/>
        </w:rPr>
      </w:pPr>
      <w:r>
        <w:rPr>
          <w:rFonts w:ascii="Arial" w:hAnsi="Arial" w:cs="Arial"/>
          <w:sz w:val="24"/>
          <w:szCs w:val="24"/>
        </w:rPr>
        <w:t xml:space="preserve">However Luna makes two errors in his calculation which lead to his incorrect conclusion. First, </w:t>
      </w:r>
      <w:r w:rsidR="00383E4D">
        <w:rPr>
          <w:rFonts w:ascii="Arial" w:hAnsi="Arial" w:cs="Arial"/>
          <w:sz w:val="24"/>
          <w:szCs w:val="24"/>
        </w:rPr>
        <w:t xml:space="preserve">he assumes the cask is not pressurized initially and that is an incorrect assumption since the </w:t>
      </w:r>
      <w:r w:rsidR="004C54BF">
        <w:rPr>
          <w:rFonts w:ascii="Arial" w:hAnsi="Arial" w:cs="Arial"/>
          <w:sz w:val="24"/>
          <w:szCs w:val="24"/>
        </w:rPr>
        <w:t>Holtec</w:t>
      </w:r>
      <w:r w:rsidR="00383E4D">
        <w:rPr>
          <w:rFonts w:ascii="Arial" w:hAnsi="Arial" w:cs="Arial"/>
          <w:sz w:val="24"/>
          <w:szCs w:val="24"/>
        </w:rPr>
        <w:t xml:space="preserve"> cask is pressurized in order to facilitate the cooling of the </w:t>
      </w:r>
      <w:r w:rsidR="004C54BF">
        <w:rPr>
          <w:rFonts w:ascii="Arial" w:hAnsi="Arial" w:cs="Arial"/>
          <w:sz w:val="24"/>
          <w:szCs w:val="24"/>
        </w:rPr>
        <w:t>contents</w:t>
      </w:r>
      <w:r w:rsidR="00383E4D">
        <w:rPr>
          <w:rFonts w:ascii="Arial" w:hAnsi="Arial" w:cs="Arial"/>
          <w:sz w:val="24"/>
          <w:szCs w:val="24"/>
        </w:rPr>
        <w:t xml:space="preserve">. In our 2010 calculations we correct that mistake. Comparison of our calculations </w:t>
      </w:r>
      <w:r w:rsidR="004C54BF">
        <w:rPr>
          <w:rFonts w:ascii="Arial" w:hAnsi="Arial" w:cs="Arial"/>
          <w:sz w:val="24"/>
          <w:szCs w:val="24"/>
        </w:rPr>
        <w:t>with h</w:t>
      </w:r>
      <w:r w:rsidR="00383E4D">
        <w:rPr>
          <w:rFonts w:ascii="Arial" w:hAnsi="Arial" w:cs="Arial"/>
          <w:sz w:val="24"/>
          <w:szCs w:val="24"/>
        </w:rPr>
        <w:t xml:space="preserve">is </w:t>
      </w:r>
      <w:r w:rsidR="004C54BF">
        <w:rPr>
          <w:rFonts w:ascii="Arial" w:hAnsi="Arial" w:cs="Arial"/>
          <w:sz w:val="24"/>
          <w:szCs w:val="24"/>
        </w:rPr>
        <w:t>appear</w:t>
      </w:r>
      <w:r w:rsidR="00383E4D">
        <w:rPr>
          <w:rFonts w:ascii="Arial" w:hAnsi="Arial" w:cs="Arial"/>
          <w:sz w:val="24"/>
          <w:szCs w:val="24"/>
        </w:rPr>
        <w:t xml:space="preserve"> in table 2 below.</w:t>
      </w:r>
    </w:p>
    <w:p w14:paraId="05AF9736" w14:textId="77777777" w:rsidR="00383E4D" w:rsidRDefault="00383E4D" w:rsidP="008B4B8D">
      <w:pPr>
        <w:spacing w:after="0"/>
        <w:rPr>
          <w:rFonts w:ascii="Arial" w:hAnsi="Arial" w:cs="Arial"/>
          <w:sz w:val="24"/>
          <w:szCs w:val="24"/>
        </w:rPr>
      </w:pPr>
    </w:p>
    <w:p w14:paraId="12173606" w14:textId="7A00A095" w:rsidR="00383E4D" w:rsidRDefault="004C54BF" w:rsidP="008B4B8D">
      <w:pPr>
        <w:spacing w:after="0"/>
        <w:rPr>
          <w:rFonts w:ascii="Arial" w:hAnsi="Arial" w:cs="Arial"/>
          <w:sz w:val="24"/>
          <w:szCs w:val="24"/>
        </w:rPr>
      </w:pPr>
      <w:r>
        <w:rPr>
          <w:rFonts w:ascii="Arial" w:hAnsi="Arial" w:cs="Arial"/>
          <w:sz w:val="24"/>
          <w:szCs w:val="24"/>
        </w:rPr>
        <w:t>The s</w:t>
      </w:r>
      <w:r w:rsidR="00383E4D">
        <w:rPr>
          <w:rFonts w:ascii="Arial" w:hAnsi="Arial" w:cs="Arial"/>
          <w:sz w:val="24"/>
          <w:szCs w:val="24"/>
        </w:rPr>
        <w:t>econd error in his calculation is his assumption concerning the release of cesium</w:t>
      </w:r>
      <w:r>
        <w:rPr>
          <w:rFonts w:ascii="Arial" w:hAnsi="Arial" w:cs="Arial"/>
          <w:sz w:val="24"/>
          <w:szCs w:val="24"/>
        </w:rPr>
        <w:t>-</w:t>
      </w:r>
      <w:r w:rsidR="00383E4D">
        <w:rPr>
          <w:rFonts w:ascii="Arial" w:hAnsi="Arial" w:cs="Arial"/>
          <w:sz w:val="24"/>
          <w:szCs w:val="24"/>
        </w:rPr>
        <w:t xml:space="preserve"> 137. While he assumes that the entire pressure within the fuel rod is reduced accounting for the increased pressure within the cask</w:t>
      </w:r>
      <w:r>
        <w:rPr>
          <w:rFonts w:ascii="Arial" w:hAnsi="Arial" w:cs="Arial"/>
          <w:sz w:val="24"/>
          <w:szCs w:val="24"/>
        </w:rPr>
        <w:t>,</w:t>
      </w:r>
      <w:r w:rsidR="00383E4D">
        <w:rPr>
          <w:rFonts w:ascii="Arial" w:hAnsi="Arial" w:cs="Arial"/>
          <w:sz w:val="24"/>
          <w:szCs w:val="24"/>
        </w:rPr>
        <w:t xml:space="preserve"> he does not similarly assume that all the available cesium is released. </w:t>
      </w:r>
      <w:r w:rsidR="00012B56">
        <w:rPr>
          <w:rFonts w:ascii="Arial" w:hAnsi="Arial" w:cs="Arial"/>
          <w:sz w:val="24"/>
          <w:szCs w:val="24"/>
        </w:rPr>
        <w:t xml:space="preserve">By “available” we mean cesium in the gap between the fuel and the cladding.  </w:t>
      </w:r>
      <w:r w:rsidR="00383E4D">
        <w:rPr>
          <w:rFonts w:ascii="Arial" w:hAnsi="Arial" w:cs="Arial"/>
          <w:sz w:val="24"/>
          <w:szCs w:val="24"/>
        </w:rPr>
        <w:t>We corrected that error in our 2008 paper. Since all the pressure within the fuel rod is reduced</w:t>
      </w:r>
      <w:r>
        <w:rPr>
          <w:rFonts w:ascii="Arial" w:hAnsi="Arial" w:cs="Arial"/>
          <w:sz w:val="24"/>
          <w:szCs w:val="24"/>
        </w:rPr>
        <w:t>,</w:t>
      </w:r>
      <w:r w:rsidR="00383E4D">
        <w:rPr>
          <w:rFonts w:ascii="Arial" w:hAnsi="Arial" w:cs="Arial"/>
          <w:sz w:val="24"/>
          <w:szCs w:val="24"/>
        </w:rPr>
        <w:t xml:space="preserve"> </w:t>
      </w:r>
      <w:r>
        <w:rPr>
          <w:rFonts w:ascii="Arial" w:hAnsi="Arial" w:cs="Arial"/>
          <w:sz w:val="24"/>
          <w:szCs w:val="24"/>
        </w:rPr>
        <w:t xml:space="preserve">this </w:t>
      </w:r>
      <w:r w:rsidR="00383E4D">
        <w:rPr>
          <w:rFonts w:ascii="Arial" w:hAnsi="Arial" w:cs="Arial"/>
          <w:sz w:val="24"/>
          <w:szCs w:val="24"/>
        </w:rPr>
        <w:t>impli</w:t>
      </w:r>
      <w:r>
        <w:rPr>
          <w:rFonts w:ascii="Arial" w:hAnsi="Arial" w:cs="Arial"/>
          <w:sz w:val="24"/>
          <w:szCs w:val="24"/>
        </w:rPr>
        <w:t>es</w:t>
      </w:r>
      <w:r w:rsidR="00383E4D">
        <w:rPr>
          <w:rFonts w:ascii="Arial" w:hAnsi="Arial" w:cs="Arial"/>
          <w:sz w:val="24"/>
          <w:szCs w:val="24"/>
        </w:rPr>
        <w:t xml:space="preserve"> the buildup of krypton</w:t>
      </w:r>
      <w:r>
        <w:rPr>
          <w:rFonts w:ascii="Arial" w:hAnsi="Arial" w:cs="Arial"/>
          <w:sz w:val="24"/>
          <w:szCs w:val="24"/>
        </w:rPr>
        <w:t>,</w:t>
      </w:r>
      <w:r w:rsidR="00383E4D">
        <w:rPr>
          <w:rFonts w:ascii="Arial" w:hAnsi="Arial" w:cs="Arial"/>
          <w:sz w:val="24"/>
          <w:szCs w:val="24"/>
        </w:rPr>
        <w:t xml:space="preserve"> iodine and helium</w:t>
      </w:r>
      <w:r>
        <w:rPr>
          <w:rFonts w:ascii="Arial" w:hAnsi="Arial" w:cs="Arial"/>
          <w:sz w:val="24"/>
          <w:szCs w:val="24"/>
        </w:rPr>
        <w:t xml:space="preserve"> is released. But he does not assume</w:t>
      </w:r>
      <w:r w:rsidR="00383E4D">
        <w:rPr>
          <w:rFonts w:ascii="Arial" w:hAnsi="Arial" w:cs="Arial"/>
          <w:sz w:val="24"/>
          <w:szCs w:val="24"/>
        </w:rPr>
        <w:t xml:space="preserve"> that the available cesium </w:t>
      </w:r>
      <w:r>
        <w:rPr>
          <w:rFonts w:ascii="Arial" w:hAnsi="Arial" w:cs="Arial"/>
          <w:sz w:val="24"/>
          <w:szCs w:val="24"/>
        </w:rPr>
        <w:t xml:space="preserve">in the fuel rod gap </w:t>
      </w:r>
      <w:r w:rsidR="00383E4D">
        <w:rPr>
          <w:rFonts w:ascii="Arial" w:hAnsi="Arial" w:cs="Arial"/>
          <w:sz w:val="24"/>
          <w:szCs w:val="24"/>
        </w:rPr>
        <w:t>would similarly be released. The comparison between our cesium release and his also appears in Table 2 below.</w:t>
      </w:r>
    </w:p>
    <w:p w14:paraId="4F0B0324" w14:textId="77777777" w:rsidR="00852AF6" w:rsidRPr="000B5B1E" w:rsidRDefault="00852AF6" w:rsidP="008B4B8D">
      <w:pPr>
        <w:spacing w:after="0"/>
        <w:rPr>
          <w:rFonts w:ascii="Arial" w:hAnsi="Arial" w:cs="Arial"/>
          <w:sz w:val="24"/>
          <w:szCs w:val="24"/>
        </w:rPr>
      </w:pPr>
    </w:p>
    <w:p w14:paraId="2CFDB661" w14:textId="775EC2A7" w:rsidR="004575CB" w:rsidRPr="007B31C0" w:rsidRDefault="007B31C0" w:rsidP="008B4B8D">
      <w:pPr>
        <w:spacing w:after="0"/>
        <w:rPr>
          <w:b/>
          <w:sz w:val="24"/>
          <w:szCs w:val="24"/>
        </w:rPr>
      </w:pPr>
      <w:r>
        <w:rPr>
          <w:b/>
          <w:sz w:val="24"/>
          <w:szCs w:val="24"/>
        </w:rPr>
        <w:t xml:space="preserve">Table 2.  </w:t>
      </w:r>
      <w:r w:rsidRPr="007B31C0">
        <w:rPr>
          <w:b/>
          <w:sz w:val="24"/>
          <w:szCs w:val="24"/>
        </w:rPr>
        <w:t>Cs Release Fractions</w:t>
      </w:r>
    </w:p>
    <w:p w14:paraId="36F344A4" w14:textId="77777777" w:rsidR="007B31C0" w:rsidRDefault="007B31C0" w:rsidP="008B4B8D">
      <w:pPr>
        <w:spacing w:after="0"/>
        <w:rPr>
          <w:sz w:val="24"/>
          <w:szCs w:val="24"/>
        </w:rPr>
      </w:pPr>
    </w:p>
    <w:tbl>
      <w:tblPr>
        <w:tblStyle w:val="TableGrid"/>
        <w:tblW w:w="0" w:type="auto"/>
        <w:tblLook w:val="04A0" w:firstRow="1" w:lastRow="0" w:firstColumn="1" w:lastColumn="0" w:noHBand="0" w:noVBand="1"/>
      </w:tblPr>
      <w:tblGrid>
        <w:gridCol w:w="3116"/>
        <w:gridCol w:w="3117"/>
        <w:gridCol w:w="3117"/>
      </w:tblGrid>
      <w:tr w:rsidR="007B31C0" w14:paraId="243EC478" w14:textId="77777777" w:rsidTr="007B31C0">
        <w:tc>
          <w:tcPr>
            <w:tcW w:w="3116" w:type="dxa"/>
          </w:tcPr>
          <w:p w14:paraId="532F2740" w14:textId="77777777" w:rsidR="007B31C0" w:rsidRDefault="007B31C0" w:rsidP="008B4B8D">
            <w:pPr>
              <w:rPr>
                <w:sz w:val="24"/>
                <w:szCs w:val="24"/>
              </w:rPr>
            </w:pPr>
          </w:p>
        </w:tc>
        <w:tc>
          <w:tcPr>
            <w:tcW w:w="3117" w:type="dxa"/>
          </w:tcPr>
          <w:p w14:paraId="53019FD6" w14:textId="47392C21" w:rsidR="007B31C0" w:rsidRPr="007B31C0" w:rsidRDefault="007B31C0" w:rsidP="007B31C0">
            <w:pPr>
              <w:jc w:val="center"/>
              <w:rPr>
                <w:b/>
                <w:sz w:val="24"/>
                <w:szCs w:val="24"/>
              </w:rPr>
            </w:pPr>
            <w:r>
              <w:rPr>
                <w:b/>
                <w:sz w:val="24"/>
                <w:szCs w:val="24"/>
              </w:rPr>
              <w:t>Truck</w:t>
            </w:r>
          </w:p>
        </w:tc>
        <w:tc>
          <w:tcPr>
            <w:tcW w:w="3117" w:type="dxa"/>
          </w:tcPr>
          <w:p w14:paraId="005DA991" w14:textId="3742F34E" w:rsidR="007B31C0" w:rsidRPr="007B31C0" w:rsidRDefault="007B31C0" w:rsidP="007B31C0">
            <w:pPr>
              <w:jc w:val="center"/>
              <w:rPr>
                <w:b/>
                <w:sz w:val="24"/>
                <w:szCs w:val="24"/>
              </w:rPr>
            </w:pPr>
            <w:r w:rsidRPr="007B31C0">
              <w:rPr>
                <w:b/>
                <w:sz w:val="24"/>
                <w:szCs w:val="24"/>
              </w:rPr>
              <w:t>Rail</w:t>
            </w:r>
          </w:p>
        </w:tc>
      </w:tr>
      <w:tr w:rsidR="007B31C0" w14:paraId="409DE939" w14:textId="77777777" w:rsidTr="007B31C0">
        <w:tc>
          <w:tcPr>
            <w:tcW w:w="3116" w:type="dxa"/>
          </w:tcPr>
          <w:p w14:paraId="1703EA31" w14:textId="2367F9EA" w:rsidR="007B31C0" w:rsidRDefault="007B31C0" w:rsidP="007B31C0">
            <w:pPr>
              <w:jc w:val="center"/>
              <w:rPr>
                <w:sz w:val="24"/>
                <w:szCs w:val="24"/>
              </w:rPr>
            </w:pPr>
            <w:r>
              <w:rPr>
                <w:sz w:val="24"/>
                <w:szCs w:val="24"/>
              </w:rPr>
              <w:t>RWMA</w:t>
            </w:r>
            <w:r w:rsidR="00710C1B">
              <w:rPr>
                <w:rStyle w:val="FootnoteReference"/>
                <w:sz w:val="24"/>
                <w:szCs w:val="24"/>
              </w:rPr>
              <w:footnoteReference w:id="5"/>
            </w:r>
          </w:p>
        </w:tc>
        <w:tc>
          <w:tcPr>
            <w:tcW w:w="3117" w:type="dxa"/>
          </w:tcPr>
          <w:p w14:paraId="0C3C1D51" w14:textId="0A35BE90" w:rsidR="007B31C0" w:rsidRDefault="007B31C0" w:rsidP="00710C1B">
            <w:pPr>
              <w:jc w:val="center"/>
              <w:rPr>
                <w:sz w:val="24"/>
                <w:szCs w:val="24"/>
              </w:rPr>
            </w:pPr>
            <w:r>
              <w:rPr>
                <w:sz w:val="24"/>
                <w:szCs w:val="24"/>
              </w:rPr>
              <w:t>2.</w:t>
            </w:r>
            <w:r w:rsidR="00710C1B">
              <w:rPr>
                <w:sz w:val="24"/>
                <w:szCs w:val="24"/>
              </w:rPr>
              <w:t>13E-3</w:t>
            </w:r>
          </w:p>
        </w:tc>
        <w:tc>
          <w:tcPr>
            <w:tcW w:w="3117" w:type="dxa"/>
          </w:tcPr>
          <w:p w14:paraId="793D52C9" w14:textId="5D0ADD8F" w:rsidR="007B31C0" w:rsidRDefault="00710C1B" w:rsidP="007B31C0">
            <w:pPr>
              <w:jc w:val="center"/>
              <w:rPr>
                <w:sz w:val="24"/>
                <w:szCs w:val="24"/>
              </w:rPr>
            </w:pPr>
            <w:r>
              <w:rPr>
                <w:sz w:val="24"/>
                <w:szCs w:val="24"/>
              </w:rPr>
              <w:t>2.29E-4</w:t>
            </w:r>
          </w:p>
        </w:tc>
      </w:tr>
      <w:tr w:rsidR="007B31C0" w14:paraId="0901F570" w14:textId="77777777" w:rsidTr="007B31C0">
        <w:tc>
          <w:tcPr>
            <w:tcW w:w="3116" w:type="dxa"/>
          </w:tcPr>
          <w:p w14:paraId="05090175" w14:textId="355C08EE" w:rsidR="007B31C0" w:rsidRDefault="007B31C0" w:rsidP="007B31C0">
            <w:pPr>
              <w:jc w:val="center"/>
              <w:rPr>
                <w:sz w:val="24"/>
                <w:szCs w:val="24"/>
              </w:rPr>
            </w:pPr>
            <w:r>
              <w:rPr>
                <w:sz w:val="24"/>
                <w:szCs w:val="24"/>
              </w:rPr>
              <w:t>Luna</w:t>
            </w:r>
            <w:r w:rsidR="00710C1B">
              <w:rPr>
                <w:rStyle w:val="FootnoteReference"/>
                <w:sz w:val="24"/>
                <w:szCs w:val="24"/>
              </w:rPr>
              <w:footnoteReference w:id="6"/>
            </w:r>
          </w:p>
        </w:tc>
        <w:tc>
          <w:tcPr>
            <w:tcW w:w="3117" w:type="dxa"/>
          </w:tcPr>
          <w:p w14:paraId="45899F80" w14:textId="6E27A2C3" w:rsidR="007B31C0" w:rsidRDefault="007B31C0" w:rsidP="00710C1B">
            <w:pPr>
              <w:jc w:val="center"/>
              <w:rPr>
                <w:sz w:val="24"/>
                <w:szCs w:val="24"/>
              </w:rPr>
            </w:pPr>
            <w:r>
              <w:rPr>
                <w:sz w:val="24"/>
                <w:szCs w:val="24"/>
              </w:rPr>
              <w:t>5.</w:t>
            </w:r>
            <w:r w:rsidR="00710C1B">
              <w:rPr>
                <w:sz w:val="24"/>
                <w:szCs w:val="24"/>
              </w:rPr>
              <w:t>33</w:t>
            </w:r>
            <w:r>
              <w:rPr>
                <w:sz w:val="24"/>
                <w:szCs w:val="24"/>
              </w:rPr>
              <w:t>E-4</w:t>
            </w:r>
          </w:p>
        </w:tc>
        <w:tc>
          <w:tcPr>
            <w:tcW w:w="3117" w:type="dxa"/>
          </w:tcPr>
          <w:p w14:paraId="4BB8BB9B" w14:textId="74F2A827" w:rsidR="007B31C0" w:rsidRDefault="007B31C0" w:rsidP="00710C1B">
            <w:pPr>
              <w:jc w:val="center"/>
              <w:rPr>
                <w:sz w:val="24"/>
                <w:szCs w:val="24"/>
              </w:rPr>
            </w:pPr>
            <w:r>
              <w:rPr>
                <w:sz w:val="24"/>
                <w:szCs w:val="24"/>
              </w:rPr>
              <w:t>7.1</w:t>
            </w:r>
            <w:r w:rsidR="00710C1B">
              <w:rPr>
                <w:sz w:val="24"/>
                <w:szCs w:val="24"/>
              </w:rPr>
              <w:t>5</w:t>
            </w:r>
            <w:r>
              <w:rPr>
                <w:sz w:val="24"/>
                <w:szCs w:val="24"/>
              </w:rPr>
              <w:t>E-6</w:t>
            </w:r>
          </w:p>
        </w:tc>
      </w:tr>
    </w:tbl>
    <w:p w14:paraId="4AB98761" w14:textId="77777777" w:rsidR="007B31C0" w:rsidRPr="00F57C72" w:rsidRDefault="007B31C0" w:rsidP="008B4B8D">
      <w:pPr>
        <w:spacing w:after="0"/>
        <w:rPr>
          <w:sz w:val="24"/>
          <w:szCs w:val="24"/>
        </w:rPr>
      </w:pPr>
    </w:p>
    <w:p w14:paraId="1C4A7564" w14:textId="541E57A5" w:rsidR="000C46AB" w:rsidRDefault="00710C1B" w:rsidP="008B4B8D">
      <w:pPr>
        <w:rPr>
          <w:sz w:val="24"/>
          <w:szCs w:val="24"/>
        </w:rPr>
      </w:pPr>
      <w:r w:rsidRPr="00710C1B">
        <w:rPr>
          <w:sz w:val="24"/>
          <w:szCs w:val="24"/>
        </w:rPr>
        <w:lastRenderedPageBreak/>
        <w:t xml:space="preserve">The Cs inventory in </w:t>
      </w:r>
      <w:r w:rsidR="002506AD">
        <w:rPr>
          <w:sz w:val="24"/>
          <w:szCs w:val="24"/>
        </w:rPr>
        <w:t>truck and</w:t>
      </w:r>
      <w:r w:rsidRPr="00710C1B">
        <w:rPr>
          <w:sz w:val="24"/>
          <w:szCs w:val="24"/>
        </w:rPr>
        <w:t xml:space="preserve"> rail cask</w:t>
      </w:r>
      <w:r w:rsidR="002506AD">
        <w:rPr>
          <w:sz w:val="24"/>
          <w:szCs w:val="24"/>
        </w:rPr>
        <w:t>s</w:t>
      </w:r>
      <w:r w:rsidRPr="00710C1B">
        <w:rPr>
          <w:sz w:val="24"/>
          <w:szCs w:val="24"/>
        </w:rPr>
        <w:t xml:space="preserve"> containing 24 PWR high burnup fuel (80 MWD/MTU) </w:t>
      </w:r>
      <w:r w:rsidR="002506AD">
        <w:rPr>
          <w:sz w:val="24"/>
          <w:szCs w:val="24"/>
        </w:rPr>
        <w:t>are shown in Tables 3a and 3b for both 1-hole and 2-hole sabotage events.</w:t>
      </w:r>
      <w:r w:rsidRPr="00710C1B">
        <w:rPr>
          <w:sz w:val="24"/>
          <w:szCs w:val="24"/>
        </w:rPr>
        <w:t xml:space="preserve"> </w:t>
      </w:r>
    </w:p>
    <w:tbl>
      <w:tblPr>
        <w:tblW w:w="7640" w:type="dxa"/>
        <w:tblLook w:val="04A0" w:firstRow="1" w:lastRow="0" w:firstColumn="1" w:lastColumn="0" w:noHBand="0" w:noVBand="1"/>
      </w:tblPr>
      <w:tblGrid>
        <w:gridCol w:w="960"/>
        <w:gridCol w:w="1179"/>
        <w:gridCol w:w="1361"/>
        <w:gridCol w:w="1361"/>
        <w:gridCol w:w="1680"/>
        <w:gridCol w:w="1600"/>
      </w:tblGrid>
      <w:tr w:rsidR="00534057" w:rsidRPr="00534057" w14:paraId="19C8A5A0" w14:textId="77777777" w:rsidTr="00534057">
        <w:trPr>
          <w:trHeight w:val="960"/>
        </w:trPr>
        <w:tc>
          <w:tcPr>
            <w:tcW w:w="960" w:type="dxa"/>
            <w:tcBorders>
              <w:top w:val="nil"/>
              <w:left w:val="nil"/>
              <w:bottom w:val="nil"/>
              <w:right w:val="nil"/>
            </w:tcBorders>
            <w:shd w:val="clear" w:color="auto" w:fill="auto"/>
            <w:noWrap/>
            <w:vAlign w:val="bottom"/>
            <w:hideMark/>
          </w:tcPr>
          <w:p w14:paraId="25F6B335" w14:textId="77777777" w:rsidR="00534057" w:rsidRPr="00534057" w:rsidRDefault="00534057">
            <w:pPr>
              <w:rPr>
                <w:rFonts w:ascii="Times New Roman" w:eastAsia="Times New Roman" w:hAnsi="Times New Roman" w:cs="Times New Roman"/>
                <w:b/>
                <w:sz w:val="24"/>
                <w:szCs w:val="24"/>
              </w:rPr>
            </w:pPr>
          </w:p>
        </w:tc>
        <w:tc>
          <w:tcPr>
            <w:tcW w:w="1120" w:type="dxa"/>
            <w:tcBorders>
              <w:top w:val="nil"/>
              <w:left w:val="nil"/>
              <w:bottom w:val="nil"/>
              <w:right w:val="nil"/>
            </w:tcBorders>
            <w:shd w:val="clear" w:color="auto" w:fill="auto"/>
            <w:vAlign w:val="bottom"/>
            <w:hideMark/>
          </w:tcPr>
          <w:p w14:paraId="0445BEEA" w14:textId="77777777" w:rsidR="00534057" w:rsidRPr="00534057" w:rsidRDefault="00534057" w:rsidP="00534057">
            <w:pPr>
              <w:spacing w:after="0" w:line="240" w:lineRule="auto"/>
              <w:jc w:val="center"/>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fraction inventory released</w:t>
            </w:r>
          </w:p>
        </w:tc>
        <w:tc>
          <w:tcPr>
            <w:tcW w:w="1120" w:type="dxa"/>
            <w:tcBorders>
              <w:top w:val="nil"/>
              <w:left w:val="nil"/>
              <w:bottom w:val="nil"/>
              <w:right w:val="nil"/>
            </w:tcBorders>
            <w:shd w:val="clear" w:color="auto" w:fill="auto"/>
            <w:vAlign w:val="bottom"/>
            <w:hideMark/>
          </w:tcPr>
          <w:p w14:paraId="02B9D581" w14:textId="77777777" w:rsidR="00534057" w:rsidRPr="00534057" w:rsidRDefault="00534057" w:rsidP="00534057">
            <w:pPr>
              <w:spacing w:after="0" w:line="240" w:lineRule="auto"/>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Inventory 45 MWd/MTU</w:t>
            </w:r>
          </w:p>
        </w:tc>
        <w:tc>
          <w:tcPr>
            <w:tcW w:w="1160" w:type="dxa"/>
            <w:tcBorders>
              <w:top w:val="nil"/>
              <w:left w:val="nil"/>
              <w:bottom w:val="nil"/>
              <w:right w:val="nil"/>
            </w:tcBorders>
            <w:shd w:val="clear" w:color="auto" w:fill="auto"/>
            <w:vAlign w:val="bottom"/>
            <w:hideMark/>
          </w:tcPr>
          <w:p w14:paraId="2E4055B6" w14:textId="77777777" w:rsidR="00534057" w:rsidRPr="00534057" w:rsidRDefault="00534057" w:rsidP="00534057">
            <w:pPr>
              <w:spacing w:after="0" w:line="240" w:lineRule="auto"/>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Inventory 80 MWd/MTU</w:t>
            </w:r>
          </w:p>
        </w:tc>
        <w:tc>
          <w:tcPr>
            <w:tcW w:w="1680" w:type="dxa"/>
            <w:tcBorders>
              <w:top w:val="nil"/>
              <w:left w:val="nil"/>
              <w:bottom w:val="nil"/>
              <w:right w:val="nil"/>
            </w:tcBorders>
            <w:shd w:val="clear" w:color="auto" w:fill="auto"/>
            <w:vAlign w:val="bottom"/>
            <w:hideMark/>
          </w:tcPr>
          <w:p w14:paraId="7524E229" w14:textId="77777777" w:rsidR="00534057" w:rsidRPr="00534057" w:rsidRDefault="00534057" w:rsidP="00534057">
            <w:pPr>
              <w:spacing w:after="0" w:line="240" w:lineRule="auto"/>
              <w:jc w:val="center"/>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Cs released pressurized cask 45 MWd/MTU</w:t>
            </w:r>
          </w:p>
        </w:tc>
        <w:tc>
          <w:tcPr>
            <w:tcW w:w="1600" w:type="dxa"/>
            <w:tcBorders>
              <w:top w:val="nil"/>
              <w:left w:val="nil"/>
              <w:bottom w:val="nil"/>
              <w:right w:val="nil"/>
            </w:tcBorders>
            <w:shd w:val="clear" w:color="auto" w:fill="auto"/>
            <w:vAlign w:val="bottom"/>
            <w:hideMark/>
          </w:tcPr>
          <w:p w14:paraId="230534D5" w14:textId="77777777" w:rsidR="00534057" w:rsidRPr="00534057" w:rsidRDefault="00534057" w:rsidP="00534057">
            <w:pPr>
              <w:spacing w:after="0" w:line="240" w:lineRule="auto"/>
              <w:jc w:val="center"/>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Cs released pressurized cask 80 MWd/MTU</w:t>
            </w:r>
          </w:p>
        </w:tc>
      </w:tr>
      <w:tr w:rsidR="00534057" w:rsidRPr="00534057" w14:paraId="64ADEAB0" w14:textId="77777777" w:rsidTr="00534057">
        <w:trPr>
          <w:trHeight w:val="300"/>
        </w:trPr>
        <w:tc>
          <w:tcPr>
            <w:tcW w:w="960" w:type="dxa"/>
            <w:tcBorders>
              <w:top w:val="nil"/>
              <w:left w:val="nil"/>
              <w:bottom w:val="nil"/>
              <w:right w:val="nil"/>
            </w:tcBorders>
            <w:shd w:val="clear" w:color="auto" w:fill="auto"/>
            <w:noWrap/>
            <w:vAlign w:val="bottom"/>
            <w:hideMark/>
          </w:tcPr>
          <w:p w14:paraId="4186A139" w14:textId="77777777" w:rsidR="00534057" w:rsidRPr="00534057" w:rsidRDefault="00534057" w:rsidP="00534057">
            <w:pPr>
              <w:spacing w:after="0" w:line="240" w:lineRule="auto"/>
              <w:rPr>
                <w:rFonts w:ascii="Calibri" w:eastAsia="Times New Roman" w:hAnsi="Calibri" w:cs="Calibri"/>
                <w:color w:val="000000"/>
                <w:sz w:val="24"/>
                <w:szCs w:val="24"/>
              </w:rPr>
            </w:pPr>
            <w:r w:rsidRPr="00534057">
              <w:rPr>
                <w:rFonts w:ascii="Calibri" w:eastAsia="Times New Roman" w:hAnsi="Calibri" w:cs="Calibri"/>
                <w:color w:val="000000"/>
                <w:sz w:val="24"/>
                <w:szCs w:val="24"/>
              </w:rPr>
              <w:t>truck</w:t>
            </w:r>
          </w:p>
        </w:tc>
        <w:tc>
          <w:tcPr>
            <w:tcW w:w="1120" w:type="dxa"/>
            <w:tcBorders>
              <w:top w:val="nil"/>
              <w:left w:val="nil"/>
              <w:bottom w:val="nil"/>
              <w:right w:val="nil"/>
            </w:tcBorders>
            <w:shd w:val="clear" w:color="auto" w:fill="auto"/>
            <w:noWrap/>
            <w:vAlign w:val="bottom"/>
            <w:hideMark/>
          </w:tcPr>
          <w:p w14:paraId="64E3E717"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2.13E-03</w:t>
            </w:r>
          </w:p>
        </w:tc>
        <w:tc>
          <w:tcPr>
            <w:tcW w:w="1120" w:type="dxa"/>
            <w:tcBorders>
              <w:top w:val="nil"/>
              <w:left w:val="nil"/>
              <w:bottom w:val="nil"/>
              <w:right w:val="nil"/>
            </w:tcBorders>
            <w:shd w:val="clear" w:color="auto" w:fill="auto"/>
            <w:noWrap/>
            <w:vAlign w:val="bottom"/>
            <w:hideMark/>
          </w:tcPr>
          <w:p w14:paraId="16253FF7"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1.60E+05</w:t>
            </w:r>
          </w:p>
        </w:tc>
        <w:tc>
          <w:tcPr>
            <w:tcW w:w="1160" w:type="dxa"/>
            <w:tcBorders>
              <w:top w:val="nil"/>
              <w:left w:val="nil"/>
              <w:bottom w:val="nil"/>
              <w:right w:val="nil"/>
            </w:tcBorders>
            <w:shd w:val="clear" w:color="auto" w:fill="auto"/>
            <w:noWrap/>
            <w:vAlign w:val="bottom"/>
            <w:hideMark/>
          </w:tcPr>
          <w:p w14:paraId="2E139BB5"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4.20E+05</w:t>
            </w:r>
          </w:p>
        </w:tc>
        <w:tc>
          <w:tcPr>
            <w:tcW w:w="1680" w:type="dxa"/>
            <w:tcBorders>
              <w:top w:val="nil"/>
              <w:left w:val="nil"/>
              <w:bottom w:val="nil"/>
              <w:right w:val="nil"/>
            </w:tcBorders>
            <w:shd w:val="clear" w:color="auto" w:fill="auto"/>
            <w:noWrap/>
            <w:vAlign w:val="bottom"/>
            <w:hideMark/>
          </w:tcPr>
          <w:p w14:paraId="41493257"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3.41E+02</w:t>
            </w:r>
          </w:p>
        </w:tc>
        <w:tc>
          <w:tcPr>
            <w:tcW w:w="1600" w:type="dxa"/>
            <w:tcBorders>
              <w:top w:val="nil"/>
              <w:left w:val="nil"/>
              <w:bottom w:val="nil"/>
              <w:right w:val="nil"/>
            </w:tcBorders>
            <w:shd w:val="clear" w:color="auto" w:fill="auto"/>
            <w:noWrap/>
            <w:vAlign w:val="bottom"/>
            <w:hideMark/>
          </w:tcPr>
          <w:p w14:paraId="301D074D"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8.95E+02</w:t>
            </w:r>
          </w:p>
        </w:tc>
      </w:tr>
      <w:tr w:rsidR="00534057" w:rsidRPr="00534057" w14:paraId="6DCA7C6F" w14:textId="77777777" w:rsidTr="00534057">
        <w:trPr>
          <w:trHeight w:val="300"/>
        </w:trPr>
        <w:tc>
          <w:tcPr>
            <w:tcW w:w="960" w:type="dxa"/>
            <w:tcBorders>
              <w:top w:val="nil"/>
              <w:left w:val="nil"/>
              <w:bottom w:val="nil"/>
              <w:right w:val="nil"/>
            </w:tcBorders>
            <w:shd w:val="clear" w:color="auto" w:fill="auto"/>
            <w:noWrap/>
            <w:vAlign w:val="bottom"/>
            <w:hideMark/>
          </w:tcPr>
          <w:p w14:paraId="7F115A58" w14:textId="77777777" w:rsidR="00534057" w:rsidRPr="00534057" w:rsidRDefault="00534057" w:rsidP="00534057">
            <w:pPr>
              <w:spacing w:after="0" w:line="240" w:lineRule="auto"/>
              <w:rPr>
                <w:rFonts w:ascii="Calibri" w:eastAsia="Times New Roman" w:hAnsi="Calibri" w:cs="Calibri"/>
                <w:color w:val="000000"/>
                <w:sz w:val="24"/>
                <w:szCs w:val="24"/>
              </w:rPr>
            </w:pPr>
            <w:r w:rsidRPr="00534057">
              <w:rPr>
                <w:rFonts w:ascii="Calibri" w:eastAsia="Times New Roman" w:hAnsi="Calibri" w:cs="Calibri"/>
                <w:color w:val="000000"/>
                <w:sz w:val="24"/>
                <w:szCs w:val="24"/>
              </w:rPr>
              <w:t>rail</w:t>
            </w:r>
          </w:p>
        </w:tc>
        <w:tc>
          <w:tcPr>
            <w:tcW w:w="1120" w:type="dxa"/>
            <w:tcBorders>
              <w:top w:val="nil"/>
              <w:left w:val="nil"/>
              <w:bottom w:val="nil"/>
              <w:right w:val="nil"/>
            </w:tcBorders>
            <w:shd w:val="clear" w:color="auto" w:fill="auto"/>
            <w:noWrap/>
            <w:vAlign w:val="bottom"/>
            <w:hideMark/>
          </w:tcPr>
          <w:p w14:paraId="57C3DE33"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2.29E-04</w:t>
            </w:r>
          </w:p>
        </w:tc>
        <w:tc>
          <w:tcPr>
            <w:tcW w:w="1120" w:type="dxa"/>
            <w:tcBorders>
              <w:top w:val="nil"/>
              <w:left w:val="nil"/>
              <w:bottom w:val="nil"/>
              <w:right w:val="nil"/>
            </w:tcBorders>
            <w:shd w:val="clear" w:color="auto" w:fill="auto"/>
            <w:noWrap/>
            <w:vAlign w:val="bottom"/>
            <w:hideMark/>
          </w:tcPr>
          <w:p w14:paraId="10302AAA"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9.60E+05</w:t>
            </w:r>
          </w:p>
        </w:tc>
        <w:tc>
          <w:tcPr>
            <w:tcW w:w="1160" w:type="dxa"/>
            <w:tcBorders>
              <w:top w:val="nil"/>
              <w:left w:val="nil"/>
              <w:bottom w:val="nil"/>
              <w:right w:val="nil"/>
            </w:tcBorders>
            <w:shd w:val="clear" w:color="auto" w:fill="auto"/>
            <w:noWrap/>
            <w:vAlign w:val="bottom"/>
            <w:hideMark/>
          </w:tcPr>
          <w:p w14:paraId="22E170F6"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2.52E+06</w:t>
            </w:r>
          </w:p>
        </w:tc>
        <w:tc>
          <w:tcPr>
            <w:tcW w:w="1680" w:type="dxa"/>
            <w:tcBorders>
              <w:top w:val="nil"/>
              <w:left w:val="nil"/>
              <w:bottom w:val="nil"/>
              <w:right w:val="nil"/>
            </w:tcBorders>
            <w:shd w:val="clear" w:color="auto" w:fill="auto"/>
            <w:noWrap/>
            <w:vAlign w:val="bottom"/>
            <w:hideMark/>
          </w:tcPr>
          <w:p w14:paraId="3DB73F7F"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2.20E+02</w:t>
            </w:r>
          </w:p>
        </w:tc>
        <w:tc>
          <w:tcPr>
            <w:tcW w:w="1600" w:type="dxa"/>
            <w:tcBorders>
              <w:top w:val="nil"/>
              <w:left w:val="nil"/>
              <w:bottom w:val="nil"/>
              <w:right w:val="nil"/>
            </w:tcBorders>
            <w:shd w:val="clear" w:color="auto" w:fill="auto"/>
            <w:noWrap/>
            <w:vAlign w:val="bottom"/>
            <w:hideMark/>
          </w:tcPr>
          <w:p w14:paraId="3A0BB278"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5.77E+02</w:t>
            </w:r>
          </w:p>
        </w:tc>
      </w:tr>
    </w:tbl>
    <w:p w14:paraId="347AAD54" w14:textId="77777777" w:rsidR="00534057" w:rsidRDefault="00534057" w:rsidP="008B4B8D">
      <w:pPr>
        <w:rPr>
          <w:b/>
          <w:sz w:val="24"/>
          <w:szCs w:val="24"/>
        </w:rPr>
      </w:pPr>
    </w:p>
    <w:p w14:paraId="5595990A" w14:textId="39B0FD96" w:rsidR="00CE3324" w:rsidRDefault="002506AD" w:rsidP="008B4B8D">
      <w:pPr>
        <w:rPr>
          <w:sz w:val="24"/>
          <w:szCs w:val="24"/>
        </w:rPr>
      </w:pPr>
      <w:r w:rsidRPr="00E35DBC">
        <w:rPr>
          <w:b/>
          <w:sz w:val="24"/>
          <w:szCs w:val="24"/>
        </w:rPr>
        <w:t>Table 3a. Cs Release from 2010 Report 1-h</w:t>
      </w:r>
      <w:r>
        <w:rPr>
          <w:b/>
          <w:sz w:val="24"/>
          <w:szCs w:val="24"/>
        </w:rPr>
        <w:t xml:space="preserve">ole Pressurized 24 PWR </w:t>
      </w:r>
      <w:r>
        <w:rPr>
          <w:sz w:val="24"/>
          <w:szCs w:val="24"/>
        </w:rPr>
        <w:t xml:space="preserve"> </w:t>
      </w:r>
    </w:p>
    <w:p w14:paraId="2225071E" w14:textId="43555D30" w:rsidR="00FB6D64" w:rsidRDefault="00FB6D64" w:rsidP="00FB6D64">
      <w:pPr>
        <w:rPr>
          <w:b/>
          <w:sz w:val="24"/>
          <w:szCs w:val="24"/>
        </w:rPr>
      </w:pPr>
    </w:p>
    <w:tbl>
      <w:tblPr>
        <w:tblW w:w="7640" w:type="dxa"/>
        <w:tblLook w:val="04A0" w:firstRow="1" w:lastRow="0" w:firstColumn="1" w:lastColumn="0" w:noHBand="0" w:noVBand="1"/>
      </w:tblPr>
      <w:tblGrid>
        <w:gridCol w:w="960"/>
        <w:gridCol w:w="1179"/>
        <w:gridCol w:w="1361"/>
        <w:gridCol w:w="1361"/>
        <w:gridCol w:w="1680"/>
        <w:gridCol w:w="1600"/>
      </w:tblGrid>
      <w:tr w:rsidR="00534057" w:rsidRPr="00534057" w14:paraId="2008D325" w14:textId="77777777" w:rsidTr="00534057">
        <w:trPr>
          <w:trHeight w:val="1200"/>
        </w:trPr>
        <w:tc>
          <w:tcPr>
            <w:tcW w:w="960" w:type="dxa"/>
            <w:tcBorders>
              <w:top w:val="nil"/>
              <w:left w:val="nil"/>
              <w:bottom w:val="nil"/>
              <w:right w:val="nil"/>
            </w:tcBorders>
            <w:shd w:val="clear" w:color="auto" w:fill="auto"/>
            <w:noWrap/>
            <w:vAlign w:val="bottom"/>
            <w:hideMark/>
          </w:tcPr>
          <w:p w14:paraId="131C8DFB" w14:textId="77777777" w:rsidR="00534057" w:rsidRPr="00534057" w:rsidRDefault="00534057" w:rsidP="00534057">
            <w:pPr>
              <w:spacing w:after="0" w:line="240" w:lineRule="auto"/>
              <w:rPr>
                <w:rFonts w:ascii="Calibri" w:eastAsia="Times New Roman" w:hAnsi="Calibri" w:cs="Calibri"/>
                <w:b/>
                <w:sz w:val="24"/>
                <w:szCs w:val="24"/>
              </w:rPr>
            </w:pPr>
            <w:bookmarkStart w:id="0" w:name="_GoBack"/>
            <w:bookmarkEnd w:id="0"/>
          </w:p>
        </w:tc>
        <w:tc>
          <w:tcPr>
            <w:tcW w:w="1120" w:type="dxa"/>
            <w:tcBorders>
              <w:top w:val="nil"/>
              <w:left w:val="nil"/>
              <w:bottom w:val="nil"/>
              <w:right w:val="nil"/>
            </w:tcBorders>
            <w:shd w:val="clear" w:color="auto" w:fill="auto"/>
            <w:vAlign w:val="bottom"/>
            <w:hideMark/>
          </w:tcPr>
          <w:p w14:paraId="497F9F8A" w14:textId="77777777" w:rsidR="00534057" w:rsidRPr="00534057" w:rsidRDefault="00534057" w:rsidP="00534057">
            <w:pPr>
              <w:spacing w:after="0" w:line="240" w:lineRule="auto"/>
              <w:jc w:val="center"/>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fraction inventory released</w:t>
            </w:r>
          </w:p>
        </w:tc>
        <w:tc>
          <w:tcPr>
            <w:tcW w:w="1120" w:type="dxa"/>
            <w:tcBorders>
              <w:top w:val="nil"/>
              <w:left w:val="nil"/>
              <w:bottom w:val="nil"/>
              <w:right w:val="nil"/>
            </w:tcBorders>
            <w:shd w:val="clear" w:color="auto" w:fill="auto"/>
            <w:vAlign w:val="bottom"/>
            <w:hideMark/>
          </w:tcPr>
          <w:p w14:paraId="4018444E" w14:textId="77777777" w:rsidR="00534057" w:rsidRPr="00534057" w:rsidRDefault="00534057" w:rsidP="00534057">
            <w:pPr>
              <w:spacing w:after="0" w:line="240" w:lineRule="auto"/>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Inventory 45 MWd/MTU</w:t>
            </w:r>
          </w:p>
        </w:tc>
        <w:tc>
          <w:tcPr>
            <w:tcW w:w="1160" w:type="dxa"/>
            <w:tcBorders>
              <w:top w:val="nil"/>
              <w:left w:val="nil"/>
              <w:bottom w:val="nil"/>
              <w:right w:val="nil"/>
            </w:tcBorders>
            <w:shd w:val="clear" w:color="auto" w:fill="auto"/>
            <w:vAlign w:val="bottom"/>
            <w:hideMark/>
          </w:tcPr>
          <w:p w14:paraId="7E012FA3" w14:textId="77777777" w:rsidR="00534057" w:rsidRPr="00534057" w:rsidRDefault="00534057" w:rsidP="00534057">
            <w:pPr>
              <w:spacing w:after="0" w:line="240" w:lineRule="auto"/>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Inventory 80 MWd/MTU</w:t>
            </w:r>
          </w:p>
        </w:tc>
        <w:tc>
          <w:tcPr>
            <w:tcW w:w="1680" w:type="dxa"/>
            <w:tcBorders>
              <w:top w:val="nil"/>
              <w:left w:val="nil"/>
              <w:bottom w:val="nil"/>
              <w:right w:val="nil"/>
            </w:tcBorders>
            <w:shd w:val="clear" w:color="auto" w:fill="auto"/>
            <w:vAlign w:val="bottom"/>
            <w:hideMark/>
          </w:tcPr>
          <w:p w14:paraId="0E8D6F1D" w14:textId="77777777" w:rsidR="00534057" w:rsidRPr="00534057" w:rsidRDefault="00534057" w:rsidP="00534057">
            <w:pPr>
              <w:spacing w:after="0" w:line="240" w:lineRule="auto"/>
              <w:jc w:val="center"/>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Cs released pressurized cask 45 MWd/MTU</w:t>
            </w:r>
          </w:p>
        </w:tc>
        <w:tc>
          <w:tcPr>
            <w:tcW w:w="1600" w:type="dxa"/>
            <w:tcBorders>
              <w:top w:val="nil"/>
              <w:left w:val="nil"/>
              <w:bottom w:val="nil"/>
              <w:right w:val="nil"/>
            </w:tcBorders>
            <w:shd w:val="clear" w:color="auto" w:fill="auto"/>
            <w:vAlign w:val="bottom"/>
            <w:hideMark/>
          </w:tcPr>
          <w:p w14:paraId="62EC586A" w14:textId="77777777" w:rsidR="00534057" w:rsidRPr="00534057" w:rsidRDefault="00534057" w:rsidP="00534057">
            <w:pPr>
              <w:spacing w:after="0" w:line="240" w:lineRule="auto"/>
              <w:jc w:val="center"/>
              <w:rPr>
                <w:rFonts w:ascii="Calibri" w:eastAsia="Times New Roman" w:hAnsi="Calibri" w:cs="Calibri"/>
                <w:b/>
                <w:color w:val="000000"/>
                <w:sz w:val="24"/>
                <w:szCs w:val="24"/>
              </w:rPr>
            </w:pPr>
            <w:r w:rsidRPr="00534057">
              <w:rPr>
                <w:rFonts w:ascii="Calibri" w:eastAsia="Times New Roman" w:hAnsi="Calibri" w:cs="Calibri"/>
                <w:b/>
                <w:color w:val="000000"/>
                <w:sz w:val="24"/>
                <w:szCs w:val="24"/>
              </w:rPr>
              <w:t>Cs released pressurized cask 80 MWd/MTU</w:t>
            </w:r>
          </w:p>
        </w:tc>
      </w:tr>
      <w:tr w:rsidR="00534057" w:rsidRPr="00534057" w14:paraId="19FBEEFA" w14:textId="77777777" w:rsidTr="00534057">
        <w:trPr>
          <w:trHeight w:val="300"/>
        </w:trPr>
        <w:tc>
          <w:tcPr>
            <w:tcW w:w="960" w:type="dxa"/>
            <w:tcBorders>
              <w:top w:val="nil"/>
              <w:left w:val="nil"/>
              <w:bottom w:val="nil"/>
              <w:right w:val="nil"/>
            </w:tcBorders>
            <w:shd w:val="clear" w:color="auto" w:fill="auto"/>
            <w:noWrap/>
            <w:vAlign w:val="bottom"/>
            <w:hideMark/>
          </w:tcPr>
          <w:p w14:paraId="0D98F6DB" w14:textId="77777777" w:rsidR="00534057" w:rsidRPr="00534057" w:rsidRDefault="00534057" w:rsidP="00534057">
            <w:pPr>
              <w:spacing w:after="0" w:line="240" w:lineRule="auto"/>
              <w:rPr>
                <w:rFonts w:ascii="Calibri" w:eastAsia="Times New Roman" w:hAnsi="Calibri" w:cs="Calibri"/>
                <w:color w:val="000000"/>
                <w:sz w:val="24"/>
                <w:szCs w:val="24"/>
              </w:rPr>
            </w:pPr>
            <w:r w:rsidRPr="00534057">
              <w:rPr>
                <w:rFonts w:ascii="Calibri" w:eastAsia="Times New Roman" w:hAnsi="Calibri" w:cs="Calibri"/>
                <w:color w:val="000000"/>
                <w:sz w:val="24"/>
                <w:szCs w:val="24"/>
              </w:rPr>
              <w:t>truck</w:t>
            </w:r>
          </w:p>
        </w:tc>
        <w:tc>
          <w:tcPr>
            <w:tcW w:w="1120" w:type="dxa"/>
            <w:tcBorders>
              <w:top w:val="nil"/>
              <w:left w:val="nil"/>
              <w:bottom w:val="nil"/>
              <w:right w:val="nil"/>
            </w:tcBorders>
            <w:shd w:val="clear" w:color="auto" w:fill="auto"/>
            <w:noWrap/>
            <w:vAlign w:val="bottom"/>
            <w:hideMark/>
          </w:tcPr>
          <w:p w14:paraId="4042DCD1" w14:textId="77777777" w:rsidR="00534057" w:rsidRPr="00534057" w:rsidRDefault="00534057" w:rsidP="00534057">
            <w:pPr>
              <w:spacing w:after="0" w:line="240" w:lineRule="auto"/>
              <w:jc w:val="right"/>
              <w:rPr>
                <w:rFonts w:ascii="Calibri" w:eastAsia="Times New Roman" w:hAnsi="Calibri" w:cs="Calibri"/>
                <w:color w:val="000000"/>
                <w:sz w:val="24"/>
                <w:szCs w:val="24"/>
              </w:rPr>
            </w:pPr>
            <w:r w:rsidRPr="00534057">
              <w:rPr>
                <w:rFonts w:ascii="Calibri" w:eastAsia="Times New Roman" w:hAnsi="Calibri" w:cs="Calibri"/>
                <w:color w:val="000000"/>
                <w:sz w:val="24"/>
                <w:szCs w:val="24"/>
              </w:rPr>
              <w:t>2.89E-02</w:t>
            </w:r>
          </w:p>
        </w:tc>
        <w:tc>
          <w:tcPr>
            <w:tcW w:w="1120" w:type="dxa"/>
            <w:tcBorders>
              <w:top w:val="nil"/>
              <w:left w:val="nil"/>
              <w:bottom w:val="nil"/>
              <w:right w:val="nil"/>
            </w:tcBorders>
            <w:shd w:val="clear" w:color="auto" w:fill="auto"/>
            <w:noWrap/>
            <w:vAlign w:val="bottom"/>
            <w:hideMark/>
          </w:tcPr>
          <w:p w14:paraId="601E0CAC" w14:textId="77777777" w:rsidR="00534057" w:rsidRPr="00534057" w:rsidRDefault="00534057" w:rsidP="00534057">
            <w:pPr>
              <w:spacing w:after="0" w:line="240" w:lineRule="auto"/>
              <w:jc w:val="right"/>
              <w:rPr>
                <w:rFonts w:ascii="Calibri" w:eastAsia="Times New Roman" w:hAnsi="Calibri" w:cs="Calibri"/>
                <w:color w:val="000000"/>
                <w:sz w:val="24"/>
                <w:szCs w:val="24"/>
              </w:rPr>
            </w:pPr>
            <w:r w:rsidRPr="00534057">
              <w:rPr>
                <w:rFonts w:ascii="Calibri" w:eastAsia="Times New Roman" w:hAnsi="Calibri" w:cs="Calibri"/>
                <w:color w:val="000000"/>
                <w:sz w:val="24"/>
                <w:szCs w:val="24"/>
              </w:rPr>
              <w:t>1.60E+05</w:t>
            </w:r>
          </w:p>
        </w:tc>
        <w:tc>
          <w:tcPr>
            <w:tcW w:w="1160" w:type="dxa"/>
            <w:tcBorders>
              <w:top w:val="nil"/>
              <w:left w:val="nil"/>
              <w:bottom w:val="nil"/>
              <w:right w:val="nil"/>
            </w:tcBorders>
            <w:shd w:val="clear" w:color="auto" w:fill="auto"/>
            <w:noWrap/>
            <w:vAlign w:val="bottom"/>
            <w:hideMark/>
          </w:tcPr>
          <w:p w14:paraId="7BD91F03" w14:textId="77777777" w:rsidR="00534057" w:rsidRPr="00534057" w:rsidRDefault="00534057" w:rsidP="00534057">
            <w:pPr>
              <w:spacing w:after="0" w:line="240" w:lineRule="auto"/>
              <w:jc w:val="right"/>
              <w:rPr>
                <w:rFonts w:ascii="Calibri" w:eastAsia="Times New Roman" w:hAnsi="Calibri" w:cs="Calibri"/>
                <w:color w:val="000000"/>
                <w:sz w:val="24"/>
                <w:szCs w:val="24"/>
              </w:rPr>
            </w:pPr>
            <w:r w:rsidRPr="00534057">
              <w:rPr>
                <w:rFonts w:ascii="Calibri" w:eastAsia="Times New Roman" w:hAnsi="Calibri" w:cs="Calibri"/>
                <w:color w:val="000000"/>
                <w:sz w:val="24"/>
                <w:szCs w:val="24"/>
              </w:rPr>
              <w:t>4.20E+05</w:t>
            </w:r>
          </w:p>
        </w:tc>
        <w:tc>
          <w:tcPr>
            <w:tcW w:w="1680" w:type="dxa"/>
            <w:tcBorders>
              <w:top w:val="nil"/>
              <w:left w:val="nil"/>
              <w:bottom w:val="nil"/>
              <w:right w:val="nil"/>
            </w:tcBorders>
            <w:shd w:val="clear" w:color="auto" w:fill="auto"/>
            <w:noWrap/>
            <w:vAlign w:val="bottom"/>
            <w:hideMark/>
          </w:tcPr>
          <w:p w14:paraId="5387B1F2"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4.62E+03</w:t>
            </w:r>
          </w:p>
        </w:tc>
        <w:tc>
          <w:tcPr>
            <w:tcW w:w="1600" w:type="dxa"/>
            <w:tcBorders>
              <w:top w:val="nil"/>
              <w:left w:val="nil"/>
              <w:bottom w:val="nil"/>
              <w:right w:val="nil"/>
            </w:tcBorders>
            <w:shd w:val="clear" w:color="auto" w:fill="auto"/>
            <w:noWrap/>
            <w:vAlign w:val="bottom"/>
            <w:hideMark/>
          </w:tcPr>
          <w:p w14:paraId="17C2747F"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1.21E+04</w:t>
            </w:r>
          </w:p>
        </w:tc>
      </w:tr>
      <w:tr w:rsidR="00534057" w:rsidRPr="00534057" w14:paraId="2E79D3EA" w14:textId="77777777" w:rsidTr="00534057">
        <w:trPr>
          <w:trHeight w:val="300"/>
        </w:trPr>
        <w:tc>
          <w:tcPr>
            <w:tcW w:w="960" w:type="dxa"/>
            <w:tcBorders>
              <w:top w:val="nil"/>
              <w:left w:val="nil"/>
              <w:bottom w:val="nil"/>
              <w:right w:val="nil"/>
            </w:tcBorders>
            <w:shd w:val="clear" w:color="auto" w:fill="auto"/>
            <w:noWrap/>
            <w:vAlign w:val="bottom"/>
            <w:hideMark/>
          </w:tcPr>
          <w:p w14:paraId="710BA131" w14:textId="77777777" w:rsidR="00534057" w:rsidRPr="00534057" w:rsidRDefault="00534057" w:rsidP="00534057">
            <w:pPr>
              <w:spacing w:after="0" w:line="240" w:lineRule="auto"/>
              <w:rPr>
                <w:rFonts w:ascii="Calibri" w:eastAsia="Times New Roman" w:hAnsi="Calibri" w:cs="Calibri"/>
                <w:color w:val="000000"/>
                <w:sz w:val="24"/>
                <w:szCs w:val="24"/>
              </w:rPr>
            </w:pPr>
            <w:r w:rsidRPr="00534057">
              <w:rPr>
                <w:rFonts w:ascii="Calibri" w:eastAsia="Times New Roman" w:hAnsi="Calibri" w:cs="Calibri"/>
                <w:color w:val="000000"/>
                <w:sz w:val="24"/>
                <w:szCs w:val="24"/>
              </w:rPr>
              <w:t>rail</w:t>
            </w:r>
          </w:p>
        </w:tc>
        <w:tc>
          <w:tcPr>
            <w:tcW w:w="1120" w:type="dxa"/>
            <w:tcBorders>
              <w:top w:val="nil"/>
              <w:left w:val="nil"/>
              <w:bottom w:val="nil"/>
              <w:right w:val="nil"/>
            </w:tcBorders>
            <w:shd w:val="clear" w:color="auto" w:fill="auto"/>
            <w:noWrap/>
            <w:vAlign w:val="bottom"/>
            <w:hideMark/>
          </w:tcPr>
          <w:p w14:paraId="6633D3BA" w14:textId="77777777" w:rsidR="00534057" w:rsidRPr="00534057" w:rsidRDefault="00534057" w:rsidP="00534057">
            <w:pPr>
              <w:spacing w:after="0" w:line="240" w:lineRule="auto"/>
              <w:jc w:val="right"/>
              <w:rPr>
                <w:rFonts w:ascii="Calibri" w:eastAsia="Times New Roman" w:hAnsi="Calibri" w:cs="Calibri"/>
                <w:color w:val="000000"/>
                <w:sz w:val="24"/>
                <w:szCs w:val="24"/>
              </w:rPr>
            </w:pPr>
            <w:r w:rsidRPr="00534057">
              <w:rPr>
                <w:rFonts w:ascii="Calibri" w:eastAsia="Times New Roman" w:hAnsi="Calibri" w:cs="Calibri"/>
                <w:color w:val="000000"/>
                <w:sz w:val="24"/>
                <w:szCs w:val="24"/>
              </w:rPr>
              <w:t>5.13E-03</w:t>
            </w:r>
          </w:p>
        </w:tc>
        <w:tc>
          <w:tcPr>
            <w:tcW w:w="1120" w:type="dxa"/>
            <w:tcBorders>
              <w:top w:val="nil"/>
              <w:left w:val="nil"/>
              <w:bottom w:val="nil"/>
              <w:right w:val="nil"/>
            </w:tcBorders>
            <w:shd w:val="clear" w:color="auto" w:fill="auto"/>
            <w:noWrap/>
            <w:vAlign w:val="bottom"/>
            <w:hideMark/>
          </w:tcPr>
          <w:p w14:paraId="6D4E7B62" w14:textId="77777777" w:rsidR="00534057" w:rsidRPr="00534057" w:rsidRDefault="00534057" w:rsidP="00534057">
            <w:pPr>
              <w:spacing w:after="0" w:line="240" w:lineRule="auto"/>
              <w:jc w:val="right"/>
              <w:rPr>
                <w:rFonts w:ascii="Calibri" w:eastAsia="Times New Roman" w:hAnsi="Calibri" w:cs="Calibri"/>
                <w:color w:val="000000"/>
                <w:sz w:val="24"/>
                <w:szCs w:val="24"/>
              </w:rPr>
            </w:pPr>
            <w:r w:rsidRPr="00534057">
              <w:rPr>
                <w:rFonts w:ascii="Calibri" w:eastAsia="Times New Roman" w:hAnsi="Calibri" w:cs="Calibri"/>
                <w:color w:val="000000"/>
                <w:sz w:val="24"/>
                <w:szCs w:val="24"/>
              </w:rPr>
              <w:t>9.60E+05</w:t>
            </w:r>
          </w:p>
        </w:tc>
        <w:tc>
          <w:tcPr>
            <w:tcW w:w="1160" w:type="dxa"/>
            <w:tcBorders>
              <w:top w:val="nil"/>
              <w:left w:val="nil"/>
              <w:bottom w:val="nil"/>
              <w:right w:val="nil"/>
            </w:tcBorders>
            <w:shd w:val="clear" w:color="auto" w:fill="auto"/>
            <w:noWrap/>
            <w:vAlign w:val="bottom"/>
            <w:hideMark/>
          </w:tcPr>
          <w:p w14:paraId="76E03F42" w14:textId="77777777" w:rsidR="00534057" w:rsidRPr="00534057" w:rsidRDefault="00534057" w:rsidP="00534057">
            <w:pPr>
              <w:spacing w:after="0" w:line="240" w:lineRule="auto"/>
              <w:jc w:val="right"/>
              <w:rPr>
                <w:rFonts w:ascii="Calibri" w:eastAsia="Times New Roman" w:hAnsi="Calibri" w:cs="Calibri"/>
                <w:color w:val="000000"/>
                <w:sz w:val="24"/>
                <w:szCs w:val="24"/>
              </w:rPr>
            </w:pPr>
            <w:r w:rsidRPr="00534057">
              <w:rPr>
                <w:rFonts w:ascii="Calibri" w:eastAsia="Times New Roman" w:hAnsi="Calibri" w:cs="Calibri"/>
                <w:color w:val="000000"/>
                <w:sz w:val="24"/>
                <w:szCs w:val="24"/>
              </w:rPr>
              <w:t>2.52E+06</w:t>
            </w:r>
          </w:p>
        </w:tc>
        <w:tc>
          <w:tcPr>
            <w:tcW w:w="1680" w:type="dxa"/>
            <w:tcBorders>
              <w:top w:val="nil"/>
              <w:left w:val="nil"/>
              <w:bottom w:val="nil"/>
              <w:right w:val="nil"/>
            </w:tcBorders>
            <w:shd w:val="clear" w:color="auto" w:fill="auto"/>
            <w:noWrap/>
            <w:vAlign w:val="bottom"/>
            <w:hideMark/>
          </w:tcPr>
          <w:p w14:paraId="13E7AD1B" w14:textId="77777777"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4.92E+03</w:t>
            </w:r>
          </w:p>
        </w:tc>
        <w:tc>
          <w:tcPr>
            <w:tcW w:w="1600" w:type="dxa"/>
            <w:tcBorders>
              <w:top w:val="nil"/>
              <w:left w:val="nil"/>
              <w:bottom w:val="nil"/>
              <w:right w:val="nil"/>
            </w:tcBorders>
            <w:shd w:val="clear" w:color="auto" w:fill="auto"/>
            <w:noWrap/>
            <w:vAlign w:val="bottom"/>
            <w:hideMark/>
          </w:tcPr>
          <w:p w14:paraId="39E8AE77" w14:textId="4C692B41" w:rsidR="00534057" w:rsidRPr="00534057" w:rsidRDefault="00534057" w:rsidP="00534057">
            <w:pPr>
              <w:spacing w:after="0" w:line="240" w:lineRule="auto"/>
              <w:jc w:val="center"/>
              <w:rPr>
                <w:rFonts w:ascii="Calibri" w:eastAsia="Times New Roman" w:hAnsi="Calibri" w:cs="Calibri"/>
                <w:color w:val="000000"/>
                <w:sz w:val="24"/>
                <w:szCs w:val="24"/>
              </w:rPr>
            </w:pPr>
            <w:r w:rsidRPr="00534057">
              <w:rPr>
                <w:rFonts w:ascii="Calibri" w:eastAsia="Times New Roman" w:hAnsi="Calibri" w:cs="Calibri"/>
                <w:color w:val="000000"/>
                <w:sz w:val="24"/>
                <w:szCs w:val="24"/>
              </w:rPr>
              <w:t>1.29E+04</w:t>
            </w:r>
          </w:p>
        </w:tc>
      </w:tr>
    </w:tbl>
    <w:p w14:paraId="7691645C" w14:textId="77777777" w:rsidR="00FB6D64" w:rsidRDefault="00FB6D64" w:rsidP="00FB6D64">
      <w:pPr>
        <w:rPr>
          <w:b/>
          <w:sz w:val="24"/>
          <w:szCs w:val="24"/>
        </w:rPr>
      </w:pPr>
    </w:p>
    <w:p w14:paraId="4536FDF6" w14:textId="6E45AC09" w:rsidR="00E35DBC" w:rsidRDefault="002506AD" w:rsidP="008B4B8D">
      <w:pPr>
        <w:rPr>
          <w:b/>
          <w:sz w:val="24"/>
          <w:szCs w:val="24"/>
        </w:rPr>
      </w:pPr>
      <w:r>
        <w:rPr>
          <w:b/>
          <w:sz w:val="24"/>
          <w:szCs w:val="24"/>
        </w:rPr>
        <w:t>Table 3b. Cs Release from 2010 Report 2-hole Pressurized 24 PWR</w:t>
      </w:r>
    </w:p>
    <w:p w14:paraId="41C43EC9" w14:textId="5F232467" w:rsidR="00E047D6" w:rsidRDefault="00783049" w:rsidP="008B4B8D">
      <w:pPr>
        <w:rPr>
          <w:sz w:val="24"/>
          <w:szCs w:val="24"/>
        </w:rPr>
      </w:pPr>
      <w:r w:rsidRPr="00783049">
        <w:rPr>
          <w:sz w:val="24"/>
          <w:szCs w:val="24"/>
        </w:rPr>
        <w:t>Note: th</w:t>
      </w:r>
      <w:r>
        <w:rPr>
          <w:sz w:val="24"/>
          <w:szCs w:val="24"/>
        </w:rPr>
        <w:t>e calculated releases</w:t>
      </w:r>
      <w:r w:rsidRPr="00783049">
        <w:rPr>
          <w:sz w:val="24"/>
          <w:szCs w:val="24"/>
        </w:rPr>
        <w:t xml:space="preserve"> includes the results of the 1994 GRS experiment</w:t>
      </w:r>
      <w:r>
        <w:rPr>
          <w:rStyle w:val="FootnoteReference"/>
          <w:sz w:val="24"/>
          <w:szCs w:val="24"/>
        </w:rPr>
        <w:footnoteReference w:id="7"/>
      </w:r>
    </w:p>
    <w:p w14:paraId="16B54BE2" w14:textId="77777777" w:rsidR="00E047D6" w:rsidRDefault="00E047D6" w:rsidP="008B4B8D">
      <w:pPr>
        <w:rPr>
          <w:sz w:val="24"/>
          <w:szCs w:val="24"/>
        </w:rPr>
      </w:pPr>
    </w:p>
    <w:p w14:paraId="2A5A5078" w14:textId="77777777" w:rsidR="00E047D6" w:rsidRDefault="00E047D6" w:rsidP="008B4B8D">
      <w:pPr>
        <w:rPr>
          <w:sz w:val="24"/>
          <w:szCs w:val="24"/>
        </w:rPr>
      </w:pPr>
    </w:p>
    <w:p w14:paraId="3B85A84B" w14:textId="77777777" w:rsidR="00E047D6" w:rsidRDefault="00E047D6" w:rsidP="008B4B8D">
      <w:pPr>
        <w:rPr>
          <w:sz w:val="24"/>
          <w:szCs w:val="24"/>
        </w:rPr>
      </w:pPr>
    </w:p>
    <w:sectPr w:rsidR="00E047D6">
      <w:footerReference w:type="default" r:id="rId10"/>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1BC6" w14:textId="77777777" w:rsidR="00DD1265" w:rsidRDefault="00DD1265">
      <w:pPr>
        <w:spacing w:after="0" w:line="240" w:lineRule="auto"/>
      </w:pPr>
      <w:r>
        <w:separator/>
      </w:r>
    </w:p>
  </w:endnote>
  <w:endnote w:type="continuationSeparator" w:id="0">
    <w:p w14:paraId="322F195F" w14:textId="77777777" w:rsidR="00DD1265" w:rsidRDefault="00DD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14:paraId="3982EAA2" w14:textId="3103339B" w:rsidR="009A41C1" w:rsidRDefault="009A41C1">
        <w:pPr>
          <w:pStyle w:val="Footer"/>
        </w:pPr>
      </w:p>
      <w:p w14:paraId="4CBECC34" w14:textId="6E70114E" w:rsidR="000C46AB" w:rsidRDefault="00852AF6">
        <w:pPr>
          <w:pStyle w:val="Footer"/>
        </w:pPr>
        <w:r>
          <w:fldChar w:fldCharType="begin"/>
        </w:r>
        <w:r>
          <w:instrText xml:space="preserve"> PAGE   \* MERGEFORMAT </w:instrText>
        </w:r>
        <w:r>
          <w:fldChar w:fldCharType="separate"/>
        </w:r>
        <w:r w:rsidR="00534057">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F407" w14:textId="77777777" w:rsidR="00DD1265" w:rsidRDefault="00DD1265">
      <w:pPr>
        <w:spacing w:after="0" w:line="240" w:lineRule="auto"/>
      </w:pPr>
      <w:r>
        <w:separator/>
      </w:r>
    </w:p>
  </w:footnote>
  <w:footnote w:type="continuationSeparator" w:id="0">
    <w:p w14:paraId="6A6778AF" w14:textId="77777777" w:rsidR="00DD1265" w:rsidRDefault="00DD1265">
      <w:pPr>
        <w:spacing w:after="0" w:line="240" w:lineRule="auto"/>
      </w:pPr>
      <w:r>
        <w:continuationSeparator/>
      </w:r>
    </w:p>
  </w:footnote>
  <w:footnote w:id="1">
    <w:p w14:paraId="5FC86374" w14:textId="4251D330" w:rsidR="00671DC9" w:rsidRDefault="00671DC9">
      <w:pPr>
        <w:pStyle w:val="FootnoteText"/>
      </w:pPr>
      <w:r>
        <w:rPr>
          <w:rStyle w:val="FootnoteReference"/>
        </w:rPr>
        <w:footnoteRef/>
      </w:r>
      <w:r>
        <w:t xml:space="preserve"> Department of the Army, “Explosives and Demolitions,” F</w:t>
      </w:r>
      <w:r w:rsidR="00012B56">
        <w:t>M 5</w:t>
      </w:r>
      <w:r>
        <w:t>-25, February 1971</w:t>
      </w:r>
    </w:p>
  </w:footnote>
  <w:footnote w:id="2">
    <w:p w14:paraId="7CF49B1D" w14:textId="36B46D04" w:rsidR="002670D7" w:rsidRDefault="002670D7">
      <w:pPr>
        <w:pStyle w:val="FootnoteText"/>
      </w:pPr>
      <w:r>
        <w:rPr>
          <w:rStyle w:val="FootnoteReference"/>
        </w:rPr>
        <w:footnoteRef/>
      </w:r>
      <w:r>
        <w:t xml:space="preserve"> Resnikoff, and Traverse, J, “Potential consequences of a successful sabotage attack on the spent fuel shipping container,” </w:t>
      </w:r>
      <w:r w:rsidR="00D105CE">
        <w:t xml:space="preserve">RWMA, </w:t>
      </w:r>
      <w:r>
        <w:t>November 2008.</w:t>
      </w:r>
    </w:p>
  </w:footnote>
  <w:footnote w:id="3">
    <w:p w14:paraId="7A5D819F" w14:textId="141C0FB9" w:rsidR="002670D7" w:rsidRDefault="002670D7">
      <w:pPr>
        <w:pStyle w:val="FootnoteText"/>
      </w:pPr>
      <w:r>
        <w:rPr>
          <w:rStyle w:val="FootnoteReference"/>
        </w:rPr>
        <w:footnoteRef/>
      </w:r>
      <w:r>
        <w:t xml:space="preserve"> Luna, R.E., </w:t>
      </w:r>
      <w:r w:rsidRPr="002670D7">
        <w:rPr>
          <w:i/>
        </w:rPr>
        <w:t>Et a</w:t>
      </w:r>
      <w:r>
        <w:t>l., “Projected source terms for potential sabotage events related to spent fuel shipments,” Sandia National Laboratories, Sand 99 – 0963, June 1999.</w:t>
      </w:r>
    </w:p>
  </w:footnote>
  <w:footnote w:id="4">
    <w:p w14:paraId="71D55A74" w14:textId="65DEFD9D" w:rsidR="00D105CE" w:rsidRDefault="00D105CE">
      <w:pPr>
        <w:pStyle w:val="FootnoteText"/>
      </w:pPr>
      <w:r>
        <w:rPr>
          <w:rStyle w:val="FootnoteReference"/>
        </w:rPr>
        <w:footnoteRef/>
      </w:r>
      <w:r>
        <w:t xml:space="preserve"> Resnikoff M, and Traverse J, “Luna blowdown calculations,” RWMA, February 2010.</w:t>
      </w:r>
    </w:p>
  </w:footnote>
  <w:footnote w:id="5">
    <w:p w14:paraId="66EB4C83" w14:textId="16ADDC27" w:rsidR="00710C1B" w:rsidRDefault="00710C1B">
      <w:pPr>
        <w:pStyle w:val="FootnoteText"/>
      </w:pPr>
      <w:r>
        <w:rPr>
          <w:rStyle w:val="FootnoteReference"/>
        </w:rPr>
        <w:footnoteRef/>
      </w:r>
      <w:r>
        <w:t xml:space="preserve"> (RWMA, 2010)</w:t>
      </w:r>
    </w:p>
  </w:footnote>
  <w:footnote w:id="6">
    <w:p w14:paraId="26CF5CDE" w14:textId="327DA41F" w:rsidR="00710C1B" w:rsidRDefault="00710C1B">
      <w:pPr>
        <w:pStyle w:val="FootnoteText"/>
      </w:pPr>
      <w:r>
        <w:rPr>
          <w:rStyle w:val="FootnoteReference"/>
        </w:rPr>
        <w:footnoteRef/>
      </w:r>
      <w:r>
        <w:t xml:space="preserve"> </w:t>
      </w:r>
      <w:r w:rsidR="00CE3324">
        <w:t>Luna, RE, “Release fractions from Multi-element Spent fuel casks resulting from HEDD attack,” WM’06 Conference, 2006.</w:t>
      </w:r>
    </w:p>
  </w:footnote>
  <w:footnote w:id="7">
    <w:p w14:paraId="65DCC04F" w14:textId="7C70A887" w:rsidR="00783049" w:rsidRDefault="00783049">
      <w:pPr>
        <w:pStyle w:val="FootnoteText"/>
      </w:pPr>
      <w:r>
        <w:rPr>
          <w:rStyle w:val="FootnoteReference"/>
        </w:rPr>
        <w:footnoteRef/>
      </w:r>
      <w:r>
        <w:t xml:space="preserve"> Pretzsch, G and Lange, F., “Experimental Determination of the Release of UO2 from a Transport Container for Spent Fuel  Elements after Shaped Charge Bombardment,” Gessellshaft fur Anlagen-und Reaktorsicherheit, Report GRS A-2157, May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A7E53"/>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AF55B4-B059-4D0D-BEA7-E911150E1121}"/>
    <w:docVar w:name="dgnword-eventsink" w:val="231308928"/>
  </w:docVars>
  <w:rsids>
    <w:rsidRoot w:val="00DD1265"/>
    <w:rsid w:val="00012B56"/>
    <w:rsid w:val="000B5B1E"/>
    <w:rsid w:val="000C46AB"/>
    <w:rsid w:val="000E4805"/>
    <w:rsid w:val="001839D7"/>
    <w:rsid w:val="001B72B2"/>
    <w:rsid w:val="001F2100"/>
    <w:rsid w:val="001F750D"/>
    <w:rsid w:val="002506AD"/>
    <w:rsid w:val="002670D7"/>
    <w:rsid w:val="00287FE7"/>
    <w:rsid w:val="002C1CE8"/>
    <w:rsid w:val="00311ADF"/>
    <w:rsid w:val="00383E4D"/>
    <w:rsid w:val="003D7F0B"/>
    <w:rsid w:val="004575CB"/>
    <w:rsid w:val="004C54BF"/>
    <w:rsid w:val="00534057"/>
    <w:rsid w:val="0060637A"/>
    <w:rsid w:val="00671DC9"/>
    <w:rsid w:val="00710C1B"/>
    <w:rsid w:val="007251BD"/>
    <w:rsid w:val="00783049"/>
    <w:rsid w:val="007B31C0"/>
    <w:rsid w:val="00852AF6"/>
    <w:rsid w:val="00896F3D"/>
    <w:rsid w:val="008A1572"/>
    <w:rsid w:val="008B4B8D"/>
    <w:rsid w:val="0094783A"/>
    <w:rsid w:val="00960FD8"/>
    <w:rsid w:val="00985ED9"/>
    <w:rsid w:val="009A41C1"/>
    <w:rsid w:val="00A167AB"/>
    <w:rsid w:val="00A23363"/>
    <w:rsid w:val="00A67CB4"/>
    <w:rsid w:val="00BE77BD"/>
    <w:rsid w:val="00C14C09"/>
    <w:rsid w:val="00CE3324"/>
    <w:rsid w:val="00D105CE"/>
    <w:rsid w:val="00D23150"/>
    <w:rsid w:val="00D42EF7"/>
    <w:rsid w:val="00D75D00"/>
    <w:rsid w:val="00DD1265"/>
    <w:rsid w:val="00DF7D7E"/>
    <w:rsid w:val="00E047D6"/>
    <w:rsid w:val="00E35DBC"/>
    <w:rsid w:val="00E52D43"/>
    <w:rsid w:val="00F15794"/>
    <w:rsid w:val="00F27311"/>
    <w:rsid w:val="00F3439F"/>
    <w:rsid w:val="00F57C72"/>
    <w:rsid w:val="00FA483D"/>
    <w:rsid w:val="00FB6D64"/>
    <w:rsid w:val="00FE5661"/>
    <w:rsid w:val="00FE6084"/>
    <w:rsid w:val="00FF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78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D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9A41C1"/>
    <w:pPr>
      <w:ind w:left="720"/>
      <w:contextualSpacing/>
    </w:pPr>
  </w:style>
  <w:style w:type="paragraph" w:styleId="FootnoteText">
    <w:name w:val="footnote text"/>
    <w:basedOn w:val="Normal"/>
    <w:link w:val="FootnoteTextChar"/>
    <w:uiPriority w:val="99"/>
    <w:semiHidden/>
    <w:unhideWhenUsed/>
    <w:rsid w:val="00671DC9"/>
    <w:pPr>
      <w:spacing w:after="0" w:line="240" w:lineRule="auto"/>
    </w:pPr>
  </w:style>
  <w:style w:type="character" w:customStyle="1" w:styleId="FootnoteTextChar">
    <w:name w:val="Footnote Text Char"/>
    <w:basedOn w:val="DefaultParagraphFont"/>
    <w:link w:val="FootnoteText"/>
    <w:uiPriority w:val="99"/>
    <w:semiHidden/>
    <w:rsid w:val="00671DC9"/>
  </w:style>
  <w:style w:type="character" w:styleId="FootnoteReference">
    <w:name w:val="footnote reference"/>
    <w:basedOn w:val="DefaultParagraphFont"/>
    <w:uiPriority w:val="99"/>
    <w:semiHidden/>
    <w:unhideWhenUsed/>
    <w:rsid w:val="00671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8631">
      <w:bodyDiv w:val="1"/>
      <w:marLeft w:val="0"/>
      <w:marRight w:val="0"/>
      <w:marTop w:val="0"/>
      <w:marBottom w:val="0"/>
      <w:divBdr>
        <w:top w:val="none" w:sz="0" w:space="0" w:color="auto"/>
        <w:left w:val="none" w:sz="0" w:space="0" w:color="auto"/>
        <w:bottom w:val="none" w:sz="0" w:space="0" w:color="auto"/>
        <w:right w:val="none" w:sz="0" w:space="0" w:color="auto"/>
      </w:divBdr>
    </w:div>
    <w:div w:id="202522516">
      <w:bodyDiv w:val="1"/>
      <w:marLeft w:val="0"/>
      <w:marRight w:val="0"/>
      <w:marTop w:val="0"/>
      <w:marBottom w:val="0"/>
      <w:divBdr>
        <w:top w:val="none" w:sz="0" w:space="0" w:color="auto"/>
        <w:left w:val="none" w:sz="0" w:space="0" w:color="auto"/>
        <w:bottom w:val="none" w:sz="0" w:space="0" w:color="auto"/>
        <w:right w:val="none" w:sz="0" w:space="0" w:color="auto"/>
      </w:divBdr>
    </w:div>
    <w:div w:id="244195537">
      <w:bodyDiv w:val="1"/>
      <w:marLeft w:val="0"/>
      <w:marRight w:val="0"/>
      <w:marTop w:val="0"/>
      <w:marBottom w:val="0"/>
      <w:divBdr>
        <w:top w:val="none" w:sz="0" w:space="0" w:color="auto"/>
        <w:left w:val="none" w:sz="0" w:space="0" w:color="auto"/>
        <w:bottom w:val="none" w:sz="0" w:space="0" w:color="auto"/>
        <w:right w:val="none" w:sz="0" w:space="0" w:color="auto"/>
      </w:divBdr>
    </w:div>
    <w:div w:id="270818206">
      <w:bodyDiv w:val="1"/>
      <w:marLeft w:val="0"/>
      <w:marRight w:val="0"/>
      <w:marTop w:val="0"/>
      <w:marBottom w:val="0"/>
      <w:divBdr>
        <w:top w:val="none" w:sz="0" w:space="0" w:color="auto"/>
        <w:left w:val="none" w:sz="0" w:space="0" w:color="auto"/>
        <w:bottom w:val="none" w:sz="0" w:space="0" w:color="auto"/>
        <w:right w:val="none" w:sz="0" w:space="0" w:color="auto"/>
      </w:divBdr>
    </w:div>
    <w:div w:id="285814194">
      <w:bodyDiv w:val="1"/>
      <w:marLeft w:val="0"/>
      <w:marRight w:val="0"/>
      <w:marTop w:val="0"/>
      <w:marBottom w:val="0"/>
      <w:divBdr>
        <w:top w:val="none" w:sz="0" w:space="0" w:color="auto"/>
        <w:left w:val="none" w:sz="0" w:space="0" w:color="auto"/>
        <w:bottom w:val="none" w:sz="0" w:space="0" w:color="auto"/>
        <w:right w:val="none" w:sz="0" w:space="0" w:color="auto"/>
      </w:divBdr>
    </w:div>
    <w:div w:id="393620886">
      <w:bodyDiv w:val="1"/>
      <w:marLeft w:val="0"/>
      <w:marRight w:val="0"/>
      <w:marTop w:val="0"/>
      <w:marBottom w:val="0"/>
      <w:divBdr>
        <w:top w:val="none" w:sz="0" w:space="0" w:color="auto"/>
        <w:left w:val="none" w:sz="0" w:space="0" w:color="auto"/>
        <w:bottom w:val="none" w:sz="0" w:space="0" w:color="auto"/>
        <w:right w:val="none" w:sz="0" w:space="0" w:color="auto"/>
      </w:divBdr>
    </w:div>
    <w:div w:id="405299015">
      <w:bodyDiv w:val="1"/>
      <w:marLeft w:val="0"/>
      <w:marRight w:val="0"/>
      <w:marTop w:val="0"/>
      <w:marBottom w:val="0"/>
      <w:divBdr>
        <w:top w:val="none" w:sz="0" w:space="0" w:color="auto"/>
        <w:left w:val="none" w:sz="0" w:space="0" w:color="auto"/>
        <w:bottom w:val="none" w:sz="0" w:space="0" w:color="auto"/>
        <w:right w:val="none" w:sz="0" w:space="0" w:color="auto"/>
      </w:divBdr>
    </w:div>
    <w:div w:id="422606117">
      <w:bodyDiv w:val="1"/>
      <w:marLeft w:val="0"/>
      <w:marRight w:val="0"/>
      <w:marTop w:val="0"/>
      <w:marBottom w:val="0"/>
      <w:divBdr>
        <w:top w:val="none" w:sz="0" w:space="0" w:color="auto"/>
        <w:left w:val="none" w:sz="0" w:space="0" w:color="auto"/>
        <w:bottom w:val="none" w:sz="0" w:space="0" w:color="auto"/>
        <w:right w:val="none" w:sz="0" w:space="0" w:color="auto"/>
      </w:divBdr>
    </w:div>
    <w:div w:id="443155670">
      <w:bodyDiv w:val="1"/>
      <w:marLeft w:val="0"/>
      <w:marRight w:val="0"/>
      <w:marTop w:val="0"/>
      <w:marBottom w:val="0"/>
      <w:divBdr>
        <w:top w:val="none" w:sz="0" w:space="0" w:color="auto"/>
        <w:left w:val="none" w:sz="0" w:space="0" w:color="auto"/>
        <w:bottom w:val="none" w:sz="0" w:space="0" w:color="auto"/>
        <w:right w:val="none" w:sz="0" w:space="0" w:color="auto"/>
      </w:divBdr>
    </w:div>
    <w:div w:id="464545359">
      <w:bodyDiv w:val="1"/>
      <w:marLeft w:val="0"/>
      <w:marRight w:val="0"/>
      <w:marTop w:val="0"/>
      <w:marBottom w:val="0"/>
      <w:divBdr>
        <w:top w:val="none" w:sz="0" w:space="0" w:color="auto"/>
        <w:left w:val="none" w:sz="0" w:space="0" w:color="auto"/>
        <w:bottom w:val="none" w:sz="0" w:space="0" w:color="auto"/>
        <w:right w:val="none" w:sz="0" w:space="0" w:color="auto"/>
      </w:divBdr>
    </w:div>
    <w:div w:id="481049020">
      <w:bodyDiv w:val="1"/>
      <w:marLeft w:val="0"/>
      <w:marRight w:val="0"/>
      <w:marTop w:val="0"/>
      <w:marBottom w:val="0"/>
      <w:divBdr>
        <w:top w:val="none" w:sz="0" w:space="0" w:color="auto"/>
        <w:left w:val="none" w:sz="0" w:space="0" w:color="auto"/>
        <w:bottom w:val="none" w:sz="0" w:space="0" w:color="auto"/>
        <w:right w:val="none" w:sz="0" w:space="0" w:color="auto"/>
      </w:divBdr>
    </w:div>
    <w:div w:id="679235892">
      <w:bodyDiv w:val="1"/>
      <w:marLeft w:val="0"/>
      <w:marRight w:val="0"/>
      <w:marTop w:val="0"/>
      <w:marBottom w:val="0"/>
      <w:divBdr>
        <w:top w:val="none" w:sz="0" w:space="0" w:color="auto"/>
        <w:left w:val="none" w:sz="0" w:space="0" w:color="auto"/>
        <w:bottom w:val="none" w:sz="0" w:space="0" w:color="auto"/>
        <w:right w:val="none" w:sz="0" w:space="0" w:color="auto"/>
      </w:divBdr>
    </w:div>
    <w:div w:id="747731959">
      <w:bodyDiv w:val="1"/>
      <w:marLeft w:val="0"/>
      <w:marRight w:val="0"/>
      <w:marTop w:val="0"/>
      <w:marBottom w:val="0"/>
      <w:divBdr>
        <w:top w:val="none" w:sz="0" w:space="0" w:color="auto"/>
        <w:left w:val="none" w:sz="0" w:space="0" w:color="auto"/>
        <w:bottom w:val="none" w:sz="0" w:space="0" w:color="auto"/>
        <w:right w:val="none" w:sz="0" w:space="0" w:color="auto"/>
      </w:divBdr>
    </w:div>
    <w:div w:id="814637572">
      <w:bodyDiv w:val="1"/>
      <w:marLeft w:val="0"/>
      <w:marRight w:val="0"/>
      <w:marTop w:val="0"/>
      <w:marBottom w:val="0"/>
      <w:divBdr>
        <w:top w:val="none" w:sz="0" w:space="0" w:color="auto"/>
        <w:left w:val="none" w:sz="0" w:space="0" w:color="auto"/>
        <w:bottom w:val="none" w:sz="0" w:space="0" w:color="auto"/>
        <w:right w:val="none" w:sz="0" w:space="0" w:color="auto"/>
      </w:divBdr>
    </w:div>
    <w:div w:id="959070596">
      <w:bodyDiv w:val="1"/>
      <w:marLeft w:val="0"/>
      <w:marRight w:val="0"/>
      <w:marTop w:val="0"/>
      <w:marBottom w:val="0"/>
      <w:divBdr>
        <w:top w:val="none" w:sz="0" w:space="0" w:color="auto"/>
        <w:left w:val="none" w:sz="0" w:space="0" w:color="auto"/>
        <w:bottom w:val="none" w:sz="0" w:space="0" w:color="auto"/>
        <w:right w:val="none" w:sz="0" w:space="0" w:color="auto"/>
      </w:divBdr>
    </w:div>
    <w:div w:id="984968295">
      <w:bodyDiv w:val="1"/>
      <w:marLeft w:val="0"/>
      <w:marRight w:val="0"/>
      <w:marTop w:val="0"/>
      <w:marBottom w:val="0"/>
      <w:divBdr>
        <w:top w:val="none" w:sz="0" w:space="0" w:color="auto"/>
        <w:left w:val="none" w:sz="0" w:space="0" w:color="auto"/>
        <w:bottom w:val="none" w:sz="0" w:space="0" w:color="auto"/>
        <w:right w:val="none" w:sz="0" w:space="0" w:color="auto"/>
      </w:divBdr>
    </w:div>
    <w:div w:id="1003584896">
      <w:bodyDiv w:val="1"/>
      <w:marLeft w:val="0"/>
      <w:marRight w:val="0"/>
      <w:marTop w:val="0"/>
      <w:marBottom w:val="0"/>
      <w:divBdr>
        <w:top w:val="none" w:sz="0" w:space="0" w:color="auto"/>
        <w:left w:val="none" w:sz="0" w:space="0" w:color="auto"/>
        <w:bottom w:val="none" w:sz="0" w:space="0" w:color="auto"/>
        <w:right w:val="none" w:sz="0" w:space="0" w:color="auto"/>
      </w:divBdr>
    </w:div>
    <w:div w:id="1005400413">
      <w:bodyDiv w:val="1"/>
      <w:marLeft w:val="0"/>
      <w:marRight w:val="0"/>
      <w:marTop w:val="0"/>
      <w:marBottom w:val="0"/>
      <w:divBdr>
        <w:top w:val="none" w:sz="0" w:space="0" w:color="auto"/>
        <w:left w:val="none" w:sz="0" w:space="0" w:color="auto"/>
        <w:bottom w:val="none" w:sz="0" w:space="0" w:color="auto"/>
        <w:right w:val="none" w:sz="0" w:space="0" w:color="auto"/>
      </w:divBdr>
    </w:div>
    <w:div w:id="1158619574">
      <w:bodyDiv w:val="1"/>
      <w:marLeft w:val="0"/>
      <w:marRight w:val="0"/>
      <w:marTop w:val="0"/>
      <w:marBottom w:val="0"/>
      <w:divBdr>
        <w:top w:val="none" w:sz="0" w:space="0" w:color="auto"/>
        <w:left w:val="none" w:sz="0" w:space="0" w:color="auto"/>
        <w:bottom w:val="none" w:sz="0" w:space="0" w:color="auto"/>
        <w:right w:val="none" w:sz="0" w:space="0" w:color="auto"/>
      </w:divBdr>
    </w:div>
    <w:div w:id="1201549400">
      <w:bodyDiv w:val="1"/>
      <w:marLeft w:val="0"/>
      <w:marRight w:val="0"/>
      <w:marTop w:val="0"/>
      <w:marBottom w:val="0"/>
      <w:divBdr>
        <w:top w:val="none" w:sz="0" w:space="0" w:color="auto"/>
        <w:left w:val="none" w:sz="0" w:space="0" w:color="auto"/>
        <w:bottom w:val="none" w:sz="0" w:space="0" w:color="auto"/>
        <w:right w:val="none" w:sz="0" w:space="0" w:color="auto"/>
      </w:divBdr>
    </w:div>
    <w:div w:id="1263874208">
      <w:bodyDiv w:val="1"/>
      <w:marLeft w:val="0"/>
      <w:marRight w:val="0"/>
      <w:marTop w:val="0"/>
      <w:marBottom w:val="0"/>
      <w:divBdr>
        <w:top w:val="none" w:sz="0" w:space="0" w:color="auto"/>
        <w:left w:val="none" w:sz="0" w:space="0" w:color="auto"/>
        <w:bottom w:val="none" w:sz="0" w:space="0" w:color="auto"/>
        <w:right w:val="none" w:sz="0" w:space="0" w:color="auto"/>
      </w:divBdr>
    </w:div>
    <w:div w:id="1361514370">
      <w:bodyDiv w:val="1"/>
      <w:marLeft w:val="0"/>
      <w:marRight w:val="0"/>
      <w:marTop w:val="0"/>
      <w:marBottom w:val="0"/>
      <w:divBdr>
        <w:top w:val="none" w:sz="0" w:space="0" w:color="auto"/>
        <w:left w:val="none" w:sz="0" w:space="0" w:color="auto"/>
        <w:bottom w:val="none" w:sz="0" w:space="0" w:color="auto"/>
        <w:right w:val="none" w:sz="0" w:space="0" w:color="auto"/>
      </w:divBdr>
    </w:div>
    <w:div w:id="1395932653">
      <w:bodyDiv w:val="1"/>
      <w:marLeft w:val="0"/>
      <w:marRight w:val="0"/>
      <w:marTop w:val="0"/>
      <w:marBottom w:val="0"/>
      <w:divBdr>
        <w:top w:val="none" w:sz="0" w:space="0" w:color="auto"/>
        <w:left w:val="none" w:sz="0" w:space="0" w:color="auto"/>
        <w:bottom w:val="none" w:sz="0" w:space="0" w:color="auto"/>
        <w:right w:val="none" w:sz="0" w:space="0" w:color="auto"/>
      </w:divBdr>
    </w:div>
    <w:div w:id="1521047410">
      <w:bodyDiv w:val="1"/>
      <w:marLeft w:val="0"/>
      <w:marRight w:val="0"/>
      <w:marTop w:val="0"/>
      <w:marBottom w:val="0"/>
      <w:divBdr>
        <w:top w:val="none" w:sz="0" w:space="0" w:color="auto"/>
        <w:left w:val="none" w:sz="0" w:space="0" w:color="auto"/>
        <w:bottom w:val="none" w:sz="0" w:space="0" w:color="auto"/>
        <w:right w:val="none" w:sz="0" w:space="0" w:color="auto"/>
      </w:divBdr>
    </w:div>
    <w:div w:id="1677152312">
      <w:bodyDiv w:val="1"/>
      <w:marLeft w:val="0"/>
      <w:marRight w:val="0"/>
      <w:marTop w:val="0"/>
      <w:marBottom w:val="0"/>
      <w:divBdr>
        <w:top w:val="none" w:sz="0" w:space="0" w:color="auto"/>
        <w:left w:val="none" w:sz="0" w:space="0" w:color="auto"/>
        <w:bottom w:val="none" w:sz="0" w:space="0" w:color="auto"/>
        <w:right w:val="none" w:sz="0" w:space="0" w:color="auto"/>
      </w:divBdr>
    </w:div>
    <w:div w:id="1696954657">
      <w:bodyDiv w:val="1"/>
      <w:marLeft w:val="0"/>
      <w:marRight w:val="0"/>
      <w:marTop w:val="0"/>
      <w:marBottom w:val="0"/>
      <w:divBdr>
        <w:top w:val="none" w:sz="0" w:space="0" w:color="auto"/>
        <w:left w:val="none" w:sz="0" w:space="0" w:color="auto"/>
        <w:bottom w:val="none" w:sz="0" w:space="0" w:color="auto"/>
        <w:right w:val="none" w:sz="0" w:space="0" w:color="auto"/>
      </w:divBdr>
    </w:div>
    <w:div w:id="1905139198">
      <w:bodyDiv w:val="1"/>
      <w:marLeft w:val="0"/>
      <w:marRight w:val="0"/>
      <w:marTop w:val="0"/>
      <w:marBottom w:val="0"/>
      <w:divBdr>
        <w:top w:val="none" w:sz="0" w:space="0" w:color="auto"/>
        <w:left w:val="none" w:sz="0" w:space="0" w:color="auto"/>
        <w:bottom w:val="none" w:sz="0" w:space="0" w:color="auto"/>
        <w:right w:val="none" w:sz="0" w:space="0" w:color="auto"/>
      </w:divBdr>
    </w:div>
    <w:div w:id="20056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n\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F74D964FC0409BB6C72820977EE4E4"/>
        <w:category>
          <w:name w:val="General"/>
          <w:gallery w:val="placeholder"/>
        </w:category>
        <w:types>
          <w:type w:val="bbPlcHdr"/>
        </w:types>
        <w:behaviors>
          <w:behavior w:val="content"/>
        </w:behaviors>
        <w:guid w:val="{26468720-4533-4DCB-A468-F02646EDDDB1}"/>
      </w:docPartPr>
      <w:docPartBody>
        <w:p w:rsidR="004076BB" w:rsidRDefault="004076BB">
          <w:pPr>
            <w:pStyle w:val="E7F74D964FC0409BB6C72820977EE4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BB"/>
    <w:rsid w:val="0040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67E4C12C2482E80F732A1627E572E">
    <w:name w:val="BB967E4C12C2482E80F732A1627E572E"/>
  </w:style>
  <w:style w:type="paragraph" w:customStyle="1" w:styleId="E1BE2C441AD54A53AAB0E8A4022522C8">
    <w:name w:val="E1BE2C441AD54A53AAB0E8A4022522C8"/>
  </w:style>
  <w:style w:type="character" w:styleId="PlaceholderText">
    <w:name w:val="Placeholder Text"/>
    <w:basedOn w:val="DefaultParagraphFont"/>
    <w:uiPriority w:val="99"/>
    <w:semiHidden/>
    <w:rPr>
      <w:color w:val="808080"/>
    </w:rPr>
  </w:style>
  <w:style w:type="paragraph" w:customStyle="1" w:styleId="FC4C1DBB65FE4A20A3337BADA60538F8">
    <w:name w:val="FC4C1DBB65FE4A20A3337BADA60538F8"/>
  </w:style>
  <w:style w:type="paragraph" w:customStyle="1" w:styleId="E7F74D964FC0409BB6C72820977EE4E4">
    <w:name w:val="E7F74D964FC0409BB6C72820977EE4E4"/>
  </w:style>
  <w:style w:type="paragraph" w:customStyle="1" w:styleId="4DB613B1C3484D2B9DE2DB775C2BE525">
    <w:name w:val="4DB613B1C3484D2B9DE2DB775C2BE525"/>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70D8BA52CEDC4EBBB5B3B079A8C15E56">
    <w:name w:val="70D8BA52CEDC4EBBB5B3B079A8C15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2017-07-25T00:00:00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customXml/itemProps3.xml><?xml version="1.0" encoding="utf-8"?>
<ds:datastoreItem xmlns:ds="http://schemas.openxmlformats.org/officeDocument/2006/customXml" ds:itemID="{0BC6B075-2FE1-4089-B397-1ED5C8C9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2017-07-25T14:39:00Z</dcterms:created>
  <dcterms:modified xsi:type="dcterms:W3CDTF">2017-08-02T16:52:00Z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